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378" w:rsidP="000D6026" w:rsidRDefault="00897378" w14:paraId="37D641E2" w14:textId="77777777">
      <w:pPr>
        <w:suppressAutoHyphens/>
        <w:rPr>
          <w:lang w:val="en-US"/>
        </w:rPr>
      </w:pPr>
      <w:bookmarkStart w:name="bmkOndertekening" w:id="0"/>
      <w:bookmarkStart w:name="bmkMinuut" w:id="1"/>
      <w:bookmarkEnd w:id="0"/>
      <w:bookmarkEnd w:id="1"/>
    </w:p>
    <w:p w:rsidR="00897378" w:rsidP="000D6026" w:rsidRDefault="00897378" w14:paraId="31AA4DC0" w14:textId="77777777">
      <w:pPr>
        <w:suppressAutoHyphens/>
        <w:rPr>
          <w:lang w:val="en-US"/>
        </w:rPr>
      </w:pPr>
    </w:p>
    <w:p w:rsidRPr="00A97BB8" w:rsidR="00897378" w:rsidP="000D6026" w:rsidRDefault="00000000" w14:paraId="6D757FA3" w14:textId="77777777">
      <w:pPr>
        <w:pStyle w:val="Retouradres"/>
        <w:suppressAutoHyphens/>
      </w:pPr>
      <w:r w:rsidRPr="00A97BB8">
        <w:t>&gt; Ret</w:t>
      </w:r>
      <w:r w:rsidR="00375EAB">
        <w:t xml:space="preserve">ouradres Postbus 20350 2500 EJ </w:t>
      </w:r>
      <w:r w:rsidR="009A0B66">
        <w:t xml:space="preserve"> </w:t>
      </w:r>
      <w:r w:rsidRPr="00A97BB8">
        <w:t>Den Haag</w:t>
      </w:r>
    </w:p>
    <w:p w:rsidRPr="00A97BB8" w:rsidR="00897378" w:rsidP="000D6026" w:rsidRDefault="00897378" w14:paraId="4FAE7598" w14:textId="77777777">
      <w:pPr>
        <w:pStyle w:val="Retouradres"/>
        <w:suppressAutoHyphens/>
      </w:pPr>
    </w:p>
    <w:p w:rsidRPr="007539FC" w:rsidR="00897378" w:rsidP="000D6026" w:rsidRDefault="00000000" w14:paraId="72E218EA" w14:textId="77777777">
      <w:pPr>
        <w:suppressAutoHyphens/>
        <w:outlineLvl w:val="0"/>
      </w:pPr>
      <w:r w:rsidRPr="007539FC">
        <w:t>De Voorzitter van de Tweede Kamer</w:t>
      </w:r>
    </w:p>
    <w:p w:rsidRPr="005855A6" w:rsidR="00897378" w:rsidP="000D6026" w:rsidRDefault="00000000" w14:paraId="66E2BAE6" w14:textId="77777777">
      <w:pPr>
        <w:suppressAutoHyphens/>
        <w:rPr>
          <w:lang w:val="de-DE"/>
        </w:rPr>
      </w:pPr>
      <w:r w:rsidRPr="005855A6">
        <w:rPr>
          <w:lang w:val="de-DE"/>
        </w:rPr>
        <w:t>der Staten-Generaal</w:t>
      </w:r>
    </w:p>
    <w:p w:rsidRPr="005855A6" w:rsidR="00897378" w:rsidP="000D6026" w:rsidRDefault="00000000" w14:paraId="2328E6FE" w14:textId="77777777">
      <w:pPr>
        <w:suppressAutoHyphens/>
        <w:rPr>
          <w:lang w:val="de-DE"/>
        </w:rPr>
      </w:pPr>
      <w:r w:rsidRPr="005855A6">
        <w:rPr>
          <w:lang w:val="de-DE"/>
        </w:rPr>
        <w:t>Postbus 20018</w:t>
      </w:r>
    </w:p>
    <w:p w:rsidRPr="005855A6" w:rsidR="00897378" w:rsidP="000D6026" w:rsidRDefault="00000000" w14:paraId="73326527" w14:textId="77777777">
      <w:pPr>
        <w:suppressAutoHyphens/>
        <w:rPr>
          <w:lang w:val="de-DE"/>
        </w:rPr>
      </w:pPr>
      <w:r w:rsidRPr="005855A6">
        <w:rPr>
          <w:lang w:val="de-DE"/>
        </w:rPr>
        <w:t>2500 EA  DEN HAAG</w:t>
      </w:r>
    </w:p>
    <w:p w:rsidRPr="005855A6" w:rsidR="00897378" w:rsidP="000D6026" w:rsidRDefault="00897378" w14:paraId="6F5F82ED" w14:textId="77777777">
      <w:pPr>
        <w:suppressAutoHyphens/>
        <w:rPr>
          <w:lang w:val="de-DE"/>
        </w:rPr>
      </w:pPr>
    </w:p>
    <w:p w:rsidRPr="005855A6" w:rsidR="00897378" w:rsidP="000D6026" w:rsidRDefault="00897378" w14:paraId="3E2E9E62" w14:textId="77777777">
      <w:pPr>
        <w:suppressAutoHyphens/>
        <w:rPr>
          <w:lang w:val="de-DE"/>
        </w:rPr>
      </w:pPr>
    </w:p>
    <w:p w:rsidRPr="005855A6" w:rsidR="00897378" w:rsidP="000D6026" w:rsidRDefault="00897378" w14:paraId="1D7ED8D1" w14:textId="77777777">
      <w:pPr>
        <w:suppressAutoHyphens/>
        <w:rPr>
          <w:lang w:val="de-DE"/>
        </w:rPr>
      </w:pPr>
    </w:p>
    <w:p w:rsidRPr="005855A6" w:rsidR="00897378" w:rsidP="000D6026" w:rsidRDefault="00897378" w14:paraId="26507AC8" w14:textId="77777777">
      <w:pPr>
        <w:suppressAutoHyphens/>
        <w:rPr>
          <w:lang w:val="de-DE"/>
        </w:rPr>
      </w:pPr>
    </w:p>
    <w:p w:rsidRPr="005855A6" w:rsidR="00897378" w:rsidP="000D6026" w:rsidRDefault="00897378" w14:paraId="78830E9D" w14:textId="77777777">
      <w:pPr>
        <w:suppressAutoHyphens/>
        <w:rPr>
          <w:lang w:val="de-DE"/>
        </w:rPr>
      </w:pPr>
    </w:p>
    <w:p w:rsidRPr="005855A6" w:rsidR="00897378" w:rsidP="000D6026" w:rsidRDefault="00897378" w14:paraId="56D49392" w14:textId="77777777">
      <w:pPr>
        <w:suppressAutoHyphens/>
        <w:rPr>
          <w:lang w:val="de-DE"/>
        </w:rPr>
      </w:pPr>
    </w:p>
    <w:p w:rsidRPr="009E1B3A" w:rsidR="00897378" w:rsidP="000D6026" w:rsidRDefault="00000000" w14:paraId="342E2FAA" w14:textId="378102FB">
      <w:pPr>
        <w:tabs>
          <w:tab w:val="left" w:pos="737"/>
        </w:tabs>
        <w:suppressAutoHyphens/>
        <w:outlineLvl w:val="0"/>
        <w:rPr>
          <w:lang w:val="de-DE"/>
        </w:rPr>
      </w:pPr>
      <w:r w:rsidRPr="009E1B3A">
        <w:rPr>
          <w:lang w:val="de-DE"/>
        </w:rPr>
        <w:t>Datum</w:t>
      </w:r>
      <w:r w:rsidRPr="009E1B3A" w:rsidR="00D74EDF">
        <w:rPr>
          <w:lang w:val="de-DE"/>
        </w:rPr>
        <w:tab/>
      </w:r>
      <w:r w:rsidR="00CC5B17">
        <w:rPr>
          <w:lang w:val="de-DE"/>
        </w:rPr>
        <w:t xml:space="preserve">18 </w:t>
      </w:r>
      <w:proofErr w:type="spellStart"/>
      <w:r w:rsidR="00CC5B17">
        <w:rPr>
          <w:lang w:val="de-DE"/>
        </w:rPr>
        <w:t>april</w:t>
      </w:r>
      <w:proofErr w:type="spellEnd"/>
      <w:r w:rsidR="00CC5B17">
        <w:rPr>
          <w:lang w:val="de-DE"/>
        </w:rPr>
        <w:t xml:space="preserve"> 2024</w:t>
      </w:r>
    </w:p>
    <w:p w:rsidRPr="007539FC" w:rsidR="00897378" w:rsidP="000D6026" w:rsidRDefault="00000000" w14:paraId="6AE76E9D" w14:textId="77777777">
      <w:pPr>
        <w:tabs>
          <w:tab w:val="left" w:pos="737"/>
        </w:tabs>
        <w:suppressAutoHyphens/>
      </w:pPr>
      <w:r w:rsidRPr="007539FC">
        <w:t>Betreft</w:t>
      </w:r>
      <w:r w:rsidRPr="007539FC">
        <w:tab/>
      </w:r>
      <w:r>
        <w:t>Kamervragen</w:t>
      </w:r>
    </w:p>
    <w:p w:rsidR="00897378" w:rsidP="000D6026" w:rsidRDefault="00897378" w14:paraId="4B8B5F6A" w14:textId="77777777">
      <w:pPr>
        <w:suppressAutoHyphens/>
      </w:pPr>
    </w:p>
    <w:p w:rsidRPr="007539FC" w:rsidR="00897378" w:rsidP="000D6026" w:rsidRDefault="00897378" w14:paraId="3CD85261" w14:textId="77777777">
      <w:pPr>
        <w:suppressAutoHyphens/>
      </w:pPr>
    </w:p>
    <w:p w:rsidR="00897378" w:rsidP="000D6026" w:rsidRDefault="00897378" w14:paraId="51DD2A28" w14:textId="77777777">
      <w:pPr>
        <w:suppressAutoHyphens/>
      </w:pPr>
    </w:p>
    <w:p w:rsidR="00897378" w:rsidP="000D6026" w:rsidRDefault="00000000" w14:paraId="2CA70EFC" w14:textId="77777777">
      <w:pPr>
        <w:suppressAutoHyphens/>
      </w:pPr>
      <w:r>
        <w:t>Geachte voorzitter,</w:t>
      </w:r>
    </w:p>
    <w:p w:rsidRPr="007539FC" w:rsidR="00897378" w:rsidP="000D6026" w:rsidRDefault="00897378" w14:paraId="1FF693D8" w14:textId="77777777">
      <w:pPr>
        <w:suppressAutoHyphens/>
      </w:pPr>
    </w:p>
    <w:p w:rsidR="00897378" w:rsidP="000D6026" w:rsidRDefault="00000000" w14:paraId="51928515" w14:textId="77777777">
      <w:pPr>
        <w:suppressAutoHyphens/>
        <w:rPr>
          <w:spacing w:val="-2"/>
        </w:rPr>
      </w:pPr>
      <w:bookmarkStart w:name="bmkBriefTekst" w:id="2"/>
      <w:r w:rsidRPr="00312E83">
        <w:rPr>
          <w:spacing w:val="-2"/>
        </w:rPr>
        <w:t>Hierbij zend ik u</w:t>
      </w:r>
      <w:r w:rsidR="00B25223">
        <w:t xml:space="preserve"> </w:t>
      </w:r>
      <w:r w:rsidRPr="00312E83">
        <w:rPr>
          <w:spacing w:val="-2"/>
        </w:rPr>
        <w:t>de antwoorden op de vragen van</w:t>
      </w:r>
      <w:bookmarkEnd w:id="2"/>
      <w:r>
        <w:rPr>
          <w:spacing w:val="-2"/>
        </w:rPr>
        <w:t xml:space="preserve"> </w:t>
      </w:r>
      <w:r w:rsidR="005855A6">
        <w:rPr>
          <w:spacing w:val="-2"/>
        </w:rPr>
        <w:t xml:space="preserve">het lid </w:t>
      </w:r>
      <w:r w:rsidR="005855A6">
        <w:t>V</w:t>
      </w:r>
      <w:r w:rsidR="00B25223">
        <w:t>an der Plas (BBB)</w:t>
      </w:r>
      <w:r w:rsidR="00674CA6">
        <w:t xml:space="preserve"> </w:t>
      </w:r>
      <w:r>
        <w:rPr>
          <w:spacing w:val="-2"/>
        </w:rPr>
        <w:t xml:space="preserve">over </w:t>
      </w:r>
      <w:r w:rsidR="00B25223">
        <w:t>de noodkreet van MSD-baas ’Kankerpatiënt eindeloos in wachtkamer voor nieuwe behandelingen’</w:t>
      </w:r>
      <w:r>
        <w:rPr>
          <w:spacing w:val="-2"/>
        </w:rPr>
        <w:t>.</w:t>
      </w:r>
    </w:p>
    <w:p w:rsidR="000D6026" w:rsidP="000D6026" w:rsidRDefault="000D6026" w14:paraId="5BD52359" w14:textId="77777777">
      <w:pPr>
        <w:pStyle w:val="Huisstijl-Slotzin"/>
      </w:pPr>
      <w:r>
        <w:t>Hoogachtend,</w:t>
      </w:r>
    </w:p>
    <w:p w:rsidR="000D6026" w:rsidP="000D6026" w:rsidRDefault="000D6026" w14:paraId="1AB9E8D2" w14:textId="77777777">
      <w:pPr>
        <w:pStyle w:val="Huisstijl-Ondertekening"/>
      </w:pPr>
    </w:p>
    <w:p w:rsidR="000D6026" w:rsidP="000D6026" w:rsidRDefault="000D6026" w14:paraId="692591CF" w14:textId="77777777">
      <w:pPr>
        <w:suppressAutoHyphens/>
        <w:contextualSpacing/>
        <w:rPr>
          <w:szCs w:val="18"/>
        </w:rPr>
      </w:pPr>
      <w:r>
        <w:rPr>
          <w:szCs w:val="18"/>
        </w:rPr>
        <w:t>de m</w:t>
      </w:r>
      <w:r w:rsidRPr="00313F54">
        <w:rPr>
          <w:szCs w:val="18"/>
        </w:rPr>
        <w:t>inister voor Medische Zorg,</w:t>
      </w:r>
    </w:p>
    <w:p w:rsidR="000D6026" w:rsidP="000D6026" w:rsidRDefault="000D6026" w14:paraId="6157A403" w14:textId="77777777">
      <w:pPr>
        <w:suppressAutoHyphens/>
        <w:contextualSpacing/>
        <w:rPr>
          <w:szCs w:val="18"/>
        </w:rPr>
      </w:pPr>
    </w:p>
    <w:p w:rsidR="000D6026" w:rsidP="000D6026" w:rsidRDefault="000D6026" w14:paraId="7A3C03EB" w14:textId="77777777">
      <w:pPr>
        <w:suppressAutoHyphens/>
        <w:contextualSpacing/>
        <w:rPr>
          <w:szCs w:val="18"/>
        </w:rPr>
      </w:pPr>
    </w:p>
    <w:p w:rsidR="000D6026" w:rsidP="000D6026" w:rsidRDefault="000D6026" w14:paraId="6B6F3FBC" w14:textId="77777777">
      <w:pPr>
        <w:suppressAutoHyphens/>
        <w:contextualSpacing/>
        <w:rPr>
          <w:szCs w:val="18"/>
        </w:rPr>
      </w:pPr>
    </w:p>
    <w:p w:rsidR="000D6026" w:rsidP="000D6026" w:rsidRDefault="000D6026" w14:paraId="25ED08C2" w14:textId="77777777">
      <w:pPr>
        <w:suppressAutoHyphens/>
        <w:contextualSpacing/>
        <w:rPr>
          <w:szCs w:val="18"/>
        </w:rPr>
      </w:pPr>
    </w:p>
    <w:p w:rsidR="000D6026" w:rsidP="000D6026" w:rsidRDefault="000D6026" w14:paraId="1175BEE4" w14:textId="77777777">
      <w:pPr>
        <w:suppressAutoHyphens/>
        <w:contextualSpacing/>
        <w:rPr>
          <w:szCs w:val="18"/>
        </w:rPr>
      </w:pPr>
    </w:p>
    <w:p w:rsidRPr="00313F54" w:rsidR="000D6026" w:rsidP="000D6026" w:rsidRDefault="000D6026" w14:paraId="6D28DE15" w14:textId="77777777">
      <w:pPr>
        <w:suppressAutoHyphens/>
        <w:contextualSpacing/>
        <w:rPr>
          <w:szCs w:val="18"/>
        </w:rPr>
      </w:pPr>
    </w:p>
    <w:p w:rsidR="000D6026" w:rsidP="000D6026" w:rsidRDefault="000D6026" w14:paraId="53DCC0BE" w14:textId="77777777">
      <w:pPr>
        <w:suppressAutoHyphens/>
        <w:rPr>
          <w:szCs w:val="18"/>
        </w:rPr>
      </w:pPr>
      <w:r w:rsidRPr="00313F54">
        <w:rPr>
          <w:szCs w:val="18"/>
        </w:rPr>
        <w:t>Pia Dijkstra</w:t>
      </w:r>
    </w:p>
    <w:p w:rsidRPr="00D74EDF" w:rsidR="00D74EDF" w:rsidP="000D6026" w:rsidRDefault="00D74EDF" w14:paraId="651F532E" w14:textId="77777777">
      <w:pPr>
        <w:widowControl w:val="0"/>
        <w:suppressAutoHyphens/>
        <w:autoSpaceDN w:val="0"/>
        <w:spacing w:line="240" w:lineRule="exact"/>
        <w:textAlignment w:val="baseline"/>
        <w:rPr>
          <w:rFonts w:eastAsia="SimSun" w:cs="Lohit Hindi"/>
          <w:i/>
          <w:kern w:val="3"/>
          <w:szCs w:val="24"/>
          <w:lang w:eastAsia="zh-CN" w:bidi="hi-IN"/>
        </w:rPr>
      </w:pPr>
    </w:p>
    <w:p w:rsidR="00E703F4" w:rsidP="000D6026" w:rsidRDefault="00E703F4" w14:paraId="7DC6E6BF" w14:textId="77777777">
      <w:pPr>
        <w:suppressAutoHyphens/>
      </w:pPr>
    </w:p>
    <w:p w:rsidR="00180FCE" w:rsidP="000D6026" w:rsidRDefault="00180FCE" w14:paraId="528F21D3" w14:textId="77777777">
      <w:pPr>
        <w:suppressAutoHyphens/>
      </w:pPr>
    </w:p>
    <w:p w:rsidR="00180FCE" w:rsidP="000D6026" w:rsidRDefault="00180FCE" w14:paraId="58117FFB" w14:textId="77777777">
      <w:pPr>
        <w:suppressAutoHyphens/>
      </w:pPr>
    </w:p>
    <w:p w:rsidR="00180FCE" w:rsidP="000D6026" w:rsidRDefault="00180FCE" w14:paraId="3267A257" w14:textId="77777777">
      <w:pPr>
        <w:suppressAutoHyphens/>
      </w:pPr>
    </w:p>
    <w:p w:rsidR="000F2F05" w:rsidP="000D6026" w:rsidRDefault="000F2F05" w14:paraId="4CCBBB7F" w14:textId="77777777">
      <w:pPr>
        <w:suppressAutoHyphens/>
      </w:pPr>
    </w:p>
    <w:p w:rsidR="00A97BB8" w:rsidP="000D6026" w:rsidRDefault="00A97BB8" w14:paraId="3EE4D373" w14:textId="77777777">
      <w:pPr>
        <w:suppressAutoHyphens/>
        <w:sectPr w:rsidR="00A97BB8" w:rsidSect="00D324DD">
          <w:headerReference w:type="default" r:id="rId8"/>
          <w:headerReference w:type="first" r:id="rId9"/>
          <w:footerReference w:type="first" r:id="rId10"/>
          <w:type w:val="continuous"/>
          <w:pgSz w:w="11906" w:h="16838" w:code="9"/>
          <w:pgMar w:top="2268" w:right="2784" w:bottom="1134" w:left="1588" w:header="0" w:footer="142" w:gutter="0"/>
          <w:cols w:space="708"/>
          <w:titlePg/>
        </w:sectPr>
      </w:pPr>
    </w:p>
    <w:p w:rsidR="00A97BB8" w:rsidP="000D6026" w:rsidRDefault="00000000" w14:paraId="6B90B439" w14:textId="60256061">
      <w:pPr>
        <w:suppressAutoHyphens/>
      </w:pPr>
      <w:r>
        <w:lastRenderedPageBreak/>
        <w:t xml:space="preserve">Antwoorden op </w:t>
      </w:r>
      <w:r w:rsidR="001E37CA">
        <w:t>K</w:t>
      </w:r>
      <w:r>
        <w:t>amervragen van</w:t>
      </w:r>
      <w:r w:rsidR="00D1126F">
        <w:t xml:space="preserve"> </w:t>
      </w:r>
      <w:r w:rsidR="005855A6">
        <w:t>het lid V</w:t>
      </w:r>
      <w:r w:rsidR="00B25223">
        <w:t>an der Plas (BBB)</w:t>
      </w:r>
      <w:r w:rsidR="00B54A56">
        <w:t xml:space="preserve"> </w:t>
      </w:r>
      <w:r>
        <w:t>over</w:t>
      </w:r>
      <w:r w:rsidR="00B25223">
        <w:t xml:space="preserve"> de noodkreet van MSD-baas ’Kankerpatiënt eindeloos in wachtkamer voor nieuwe behandelingen’</w:t>
      </w:r>
      <w:r w:rsidR="000D6026">
        <w:t xml:space="preserve"> (</w:t>
      </w:r>
      <w:r w:rsidRPr="000D6026" w:rsidR="000D6026">
        <w:t>2024Z05215</w:t>
      </w:r>
      <w:r w:rsidR="000D6026">
        <w:t>, ingezonden d.d. 27 maart 2024)</w:t>
      </w:r>
      <w:r w:rsidR="00B25223">
        <w:t>.</w:t>
      </w:r>
    </w:p>
    <w:p w:rsidR="00F713BA" w:rsidP="000D6026" w:rsidRDefault="00F713BA" w14:paraId="295ED98E" w14:textId="77777777">
      <w:pPr>
        <w:suppressAutoHyphens/>
        <w:spacing w:after="160" w:line="240" w:lineRule="exact"/>
        <w:contextualSpacing/>
      </w:pPr>
    </w:p>
    <w:p w:rsidR="000D6026" w:rsidP="000D6026" w:rsidRDefault="000D6026" w14:paraId="0C81A883" w14:textId="77777777">
      <w:pPr>
        <w:suppressAutoHyphens/>
        <w:spacing w:after="160" w:line="240" w:lineRule="exact"/>
        <w:contextualSpacing/>
      </w:pPr>
    </w:p>
    <w:p w:rsidRPr="003D50C3" w:rsidR="005855A6" w:rsidP="000D6026" w:rsidRDefault="00000000" w14:paraId="36CCF753" w14:textId="77777777">
      <w:pPr>
        <w:suppressAutoHyphens/>
        <w:spacing w:after="160" w:line="240" w:lineRule="exact"/>
        <w:contextualSpacing/>
        <w:rPr>
          <w:b/>
          <w:bCs/>
        </w:rPr>
      </w:pPr>
      <w:r w:rsidRPr="003D50C3">
        <w:rPr>
          <w:b/>
          <w:bCs/>
        </w:rPr>
        <w:t>Vraag 1</w:t>
      </w:r>
    </w:p>
    <w:p w:rsidR="005855A6" w:rsidP="000D6026" w:rsidRDefault="00000000" w14:paraId="703903B7" w14:textId="77777777">
      <w:pPr>
        <w:suppressAutoHyphens/>
        <w:spacing w:after="160" w:line="240" w:lineRule="exact"/>
        <w:contextualSpacing/>
      </w:pPr>
      <w:r>
        <w:t>Bent u op de hoogte van de situatie waarin Nederlandse mensen met kanker zich bevinden, waarbij zij minder toegang hebben tot nieuwe behandelingen dan kankerpatiënten in andere landen? Zo ja, wat is uw reactie op deze situatie?</w:t>
      </w:r>
    </w:p>
    <w:p w:rsidR="005855A6" w:rsidP="000D6026" w:rsidRDefault="005855A6" w14:paraId="56507825" w14:textId="77777777">
      <w:pPr>
        <w:suppressAutoHyphens/>
        <w:spacing w:after="160" w:line="240" w:lineRule="exact"/>
        <w:contextualSpacing/>
      </w:pPr>
    </w:p>
    <w:p w:rsidRPr="003D50C3" w:rsidR="005855A6" w:rsidP="000D6026" w:rsidRDefault="00000000" w14:paraId="681DF63C" w14:textId="77777777">
      <w:pPr>
        <w:suppressAutoHyphens/>
        <w:spacing w:after="160" w:line="259" w:lineRule="auto"/>
        <w:contextualSpacing/>
        <w:rPr>
          <w:b/>
          <w:bCs/>
        </w:rPr>
      </w:pPr>
      <w:r w:rsidRPr="003D50C3">
        <w:rPr>
          <w:b/>
          <w:bCs/>
        </w:rPr>
        <w:t>Antwoord</w:t>
      </w:r>
      <w:r w:rsidRPr="003D50C3" w:rsidR="00432E53">
        <w:rPr>
          <w:b/>
          <w:bCs/>
        </w:rPr>
        <w:t xml:space="preserve"> 1</w:t>
      </w:r>
    </w:p>
    <w:p w:rsidR="00A959E1" w:rsidP="000D6026" w:rsidRDefault="00000000" w14:paraId="607C50FC" w14:textId="77777777">
      <w:pPr>
        <w:suppressAutoHyphens/>
        <w:rPr>
          <w:szCs w:val="18"/>
        </w:rPr>
      </w:pPr>
      <w:r>
        <w:rPr>
          <w:szCs w:val="18"/>
        </w:rPr>
        <w:t xml:space="preserve">Ik wil </w:t>
      </w:r>
      <w:r w:rsidR="005647B5">
        <w:rPr>
          <w:szCs w:val="18"/>
        </w:rPr>
        <w:t xml:space="preserve">de beantwoording van de vragen van lid Van der Plas graag </w:t>
      </w:r>
      <w:r>
        <w:rPr>
          <w:szCs w:val="18"/>
        </w:rPr>
        <w:t xml:space="preserve">beginnen met een algemene uitleg van het waarom van </w:t>
      </w:r>
      <w:r w:rsidR="005647B5">
        <w:rPr>
          <w:szCs w:val="18"/>
        </w:rPr>
        <w:t xml:space="preserve">het </w:t>
      </w:r>
      <w:r>
        <w:rPr>
          <w:szCs w:val="18"/>
        </w:rPr>
        <w:t>beleid</w:t>
      </w:r>
      <w:r w:rsidR="005647B5">
        <w:rPr>
          <w:szCs w:val="18"/>
        </w:rPr>
        <w:t xml:space="preserve"> ten aanzien van dure geneesmiddelen</w:t>
      </w:r>
      <w:r>
        <w:rPr>
          <w:szCs w:val="18"/>
        </w:rPr>
        <w:t xml:space="preserve"> en zal daarna ingaan op de specifieke vragen. </w:t>
      </w:r>
    </w:p>
    <w:p w:rsidR="00A959E1" w:rsidP="000D6026" w:rsidRDefault="00A959E1" w14:paraId="1C3BB0AF" w14:textId="77777777">
      <w:pPr>
        <w:suppressAutoHyphens/>
        <w:rPr>
          <w:szCs w:val="18"/>
        </w:rPr>
      </w:pPr>
    </w:p>
    <w:p w:rsidR="00BC00F2" w:rsidP="000D6026" w:rsidRDefault="00000000" w14:paraId="38F5FAF2" w14:textId="77777777">
      <w:pPr>
        <w:suppressAutoHyphens/>
        <w:rPr>
          <w:szCs w:val="18"/>
        </w:rPr>
      </w:pPr>
      <w:r>
        <w:rPr>
          <w:szCs w:val="18"/>
        </w:rPr>
        <w:t xml:space="preserve">Er komen steeds meer geneesmiddelen op de markt met een (zeer) hoge prijs. </w:t>
      </w:r>
      <w:r w:rsidR="00633521">
        <w:rPr>
          <w:szCs w:val="18"/>
        </w:rPr>
        <w:t xml:space="preserve">Als gevolg daarvan </w:t>
      </w:r>
      <w:r w:rsidRPr="007B0FD0" w:rsidR="00633521">
        <w:rPr>
          <w:szCs w:val="18"/>
        </w:rPr>
        <w:t xml:space="preserve">groeien </w:t>
      </w:r>
      <w:r w:rsidR="00633521">
        <w:rPr>
          <w:szCs w:val="18"/>
        </w:rPr>
        <w:t>d</w:t>
      </w:r>
      <w:r w:rsidRPr="007B0FD0">
        <w:rPr>
          <w:szCs w:val="18"/>
        </w:rPr>
        <w:t>e uitgaven aan geneesmiddelen harder dan</w:t>
      </w:r>
      <w:r w:rsidR="00373995">
        <w:rPr>
          <w:szCs w:val="18"/>
        </w:rPr>
        <w:t xml:space="preserve"> </w:t>
      </w:r>
      <w:r w:rsidR="004B5592">
        <w:rPr>
          <w:szCs w:val="18"/>
        </w:rPr>
        <w:t xml:space="preserve">de uitgaven </w:t>
      </w:r>
      <w:r w:rsidR="00373995">
        <w:rPr>
          <w:szCs w:val="18"/>
        </w:rPr>
        <w:t>aan</w:t>
      </w:r>
      <w:r w:rsidR="00633521">
        <w:rPr>
          <w:szCs w:val="18"/>
        </w:rPr>
        <w:t xml:space="preserve"> </w:t>
      </w:r>
      <w:r w:rsidRPr="007B0FD0">
        <w:rPr>
          <w:szCs w:val="18"/>
        </w:rPr>
        <w:t>de rest van de ziekenhuiszorg</w:t>
      </w:r>
      <w:r>
        <w:rPr>
          <w:szCs w:val="18"/>
        </w:rPr>
        <w:t>. Dure geneesmiddelen</w:t>
      </w:r>
      <w:r w:rsidRPr="007B0FD0">
        <w:rPr>
          <w:szCs w:val="18"/>
        </w:rPr>
        <w:t xml:space="preserve"> verdring</w:t>
      </w:r>
      <w:r>
        <w:rPr>
          <w:szCs w:val="18"/>
        </w:rPr>
        <w:t>en</w:t>
      </w:r>
      <w:r w:rsidRPr="007B0FD0">
        <w:rPr>
          <w:szCs w:val="18"/>
        </w:rPr>
        <w:t xml:space="preserve"> </w:t>
      </w:r>
      <w:r>
        <w:rPr>
          <w:szCs w:val="18"/>
        </w:rPr>
        <w:t xml:space="preserve">daarmee </w:t>
      </w:r>
      <w:r w:rsidRPr="007B0FD0">
        <w:rPr>
          <w:szCs w:val="18"/>
        </w:rPr>
        <w:t>andere vormen van zorg en/of andere collectieve uitgaven</w:t>
      </w:r>
      <w:r>
        <w:rPr>
          <w:szCs w:val="18"/>
        </w:rPr>
        <w:t>.</w:t>
      </w:r>
      <w:r>
        <w:rPr>
          <w:rStyle w:val="Voetnootmarkering"/>
          <w:szCs w:val="18"/>
        </w:rPr>
        <w:footnoteReference w:id="1"/>
      </w:r>
      <w:r w:rsidRPr="007B0FD0">
        <w:rPr>
          <w:szCs w:val="18"/>
        </w:rPr>
        <w:t xml:space="preserve"> </w:t>
      </w:r>
      <w:bookmarkStart w:name="_Hlk163734057" w:id="7"/>
      <w:r w:rsidRPr="007B0FD0">
        <w:rPr>
          <w:szCs w:val="18"/>
        </w:rPr>
        <w:t xml:space="preserve">Als tegen die achtergrond geneesmiddelen worden toegelaten tot de basisverzekering die niet pakketwaardig zijn, bijvoorbeeld omdat </w:t>
      </w:r>
      <w:r w:rsidR="008F6CCB">
        <w:rPr>
          <w:szCs w:val="18"/>
        </w:rPr>
        <w:t>de</w:t>
      </w:r>
      <w:r>
        <w:rPr>
          <w:szCs w:val="18"/>
        </w:rPr>
        <w:t xml:space="preserve"> onzekerhe</w:t>
      </w:r>
      <w:r w:rsidR="008F6CCB">
        <w:rPr>
          <w:szCs w:val="18"/>
        </w:rPr>
        <w:t>i</w:t>
      </w:r>
      <w:r>
        <w:rPr>
          <w:szCs w:val="18"/>
        </w:rPr>
        <w:t>d ten aanzien van de effectivitei</w:t>
      </w:r>
      <w:r w:rsidR="00F07CA0">
        <w:rPr>
          <w:szCs w:val="18"/>
        </w:rPr>
        <w:t xml:space="preserve">t </w:t>
      </w:r>
      <w:r w:rsidR="008F6CCB">
        <w:rPr>
          <w:szCs w:val="18"/>
        </w:rPr>
        <w:t>te groot is</w:t>
      </w:r>
      <w:r>
        <w:rPr>
          <w:szCs w:val="18"/>
        </w:rPr>
        <w:t xml:space="preserve"> en/of omdat </w:t>
      </w:r>
      <w:r w:rsidRPr="007B0FD0">
        <w:rPr>
          <w:szCs w:val="18"/>
        </w:rPr>
        <w:t>het risico op een niet</w:t>
      </w:r>
      <w:r>
        <w:rPr>
          <w:szCs w:val="18"/>
        </w:rPr>
        <w:t>-</w:t>
      </w:r>
      <w:r w:rsidRPr="007B0FD0">
        <w:rPr>
          <w:szCs w:val="18"/>
        </w:rPr>
        <w:t xml:space="preserve">kosteneffectieve inzet </w:t>
      </w:r>
      <w:r w:rsidR="008F6CCB">
        <w:rPr>
          <w:szCs w:val="18"/>
        </w:rPr>
        <w:t xml:space="preserve">te </w:t>
      </w:r>
      <w:r w:rsidRPr="007B0FD0">
        <w:rPr>
          <w:szCs w:val="18"/>
        </w:rPr>
        <w:t xml:space="preserve">groot is, </w:t>
      </w:r>
      <w:r>
        <w:rPr>
          <w:szCs w:val="18"/>
        </w:rPr>
        <w:t xml:space="preserve">levert dat per saldo een verlies aan </w:t>
      </w:r>
      <w:r w:rsidRPr="00A1733D">
        <w:rPr>
          <w:szCs w:val="18"/>
        </w:rPr>
        <w:t>gezondheidswinst op</w:t>
      </w:r>
      <w:r w:rsidR="005950B8">
        <w:rPr>
          <w:szCs w:val="18"/>
        </w:rPr>
        <w:t xml:space="preserve"> voor de gehele bevolking</w:t>
      </w:r>
      <w:r w:rsidRPr="00A1733D">
        <w:rPr>
          <w:szCs w:val="18"/>
        </w:rPr>
        <w:t>. Bovendien ondergraaft dat de solidariteit.</w:t>
      </w:r>
      <w:r w:rsidRPr="00A1733D" w:rsidR="00A1733D">
        <w:rPr>
          <w:szCs w:val="18"/>
        </w:rPr>
        <w:t xml:space="preserve"> </w:t>
      </w:r>
      <w:bookmarkEnd w:id="7"/>
    </w:p>
    <w:p w:rsidRPr="00A1733D" w:rsidR="004B5592" w:rsidP="000D6026" w:rsidRDefault="004B5592" w14:paraId="4FA8F9CB" w14:textId="77777777">
      <w:pPr>
        <w:suppressAutoHyphens/>
        <w:rPr>
          <w:szCs w:val="18"/>
        </w:rPr>
      </w:pPr>
    </w:p>
    <w:p w:rsidRPr="00373995" w:rsidR="00663D5A" w:rsidP="000D6026" w:rsidRDefault="00000000" w14:paraId="2083BF75" w14:textId="77777777">
      <w:pPr>
        <w:suppressAutoHyphens/>
        <w:rPr>
          <w:szCs w:val="18"/>
        </w:rPr>
      </w:pPr>
      <w:r>
        <w:t>N</w:t>
      </w:r>
      <w:r w:rsidR="00BC00F2">
        <w:t xml:space="preserve">et als in </w:t>
      </w:r>
      <w:r w:rsidR="00C66144">
        <w:t>veel</w:t>
      </w:r>
      <w:r w:rsidR="00D47D35">
        <w:t xml:space="preserve"> andere Europese landen</w:t>
      </w:r>
      <w:r w:rsidR="004B5592">
        <w:t xml:space="preserve"> </w:t>
      </w:r>
      <w:r w:rsidR="00BC00F2">
        <w:t xml:space="preserve">hanteren </w:t>
      </w:r>
      <w:r w:rsidR="00D47D35">
        <w:t xml:space="preserve">we </w:t>
      </w:r>
      <w:r>
        <w:t xml:space="preserve">in Nederland </w:t>
      </w:r>
      <w:r w:rsidR="00D47D35">
        <w:t xml:space="preserve">daarom </w:t>
      </w:r>
      <w:r w:rsidR="00BC00F2">
        <w:t xml:space="preserve">een systeem waarbij voorafgaand aan het vergoedingsbesluit </w:t>
      </w:r>
      <w:r w:rsidR="00F07CA0">
        <w:t xml:space="preserve">voor </w:t>
      </w:r>
      <w:r w:rsidR="00993CB8">
        <w:t>(</w:t>
      </w:r>
      <w:r w:rsidR="00F07CA0">
        <w:t>dure</w:t>
      </w:r>
      <w:r w:rsidR="00993CB8">
        <w:t>)</w:t>
      </w:r>
      <w:r w:rsidR="00F07CA0">
        <w:t xml:space="preserve"> geneesmiddelen </w:t>
      </w:r>
      <w:r w:rsidR="00BC00F2">
        <w:t>een toets op pakketwaardigheid wordt uitgevoerd (de pakketbeoordeling)</w:t>
      </w:r>
      <w:r>
        <w:rPr>
          <w:rStyle w:val="Voetnootmarkering"/>
        </w:rPr>
        <w:footnoteReference w:id="2"/>
      </w:r>
      <w:r w:rsidR="00BC00F2">
        <w:t xml:space="preserve">. </w:t>
      </w:r>
      <w:r w:rsidR="00D47D35">
        <w:t>Dit</w:t>
      </w:r>
      <w:r w:rsidR="009F35E2">
        <w:t xml:space="preserve"> heeft als doel ervoor te zorgen dat alleen geneesmiddelen uit collectieve middelen worden vergoed die bewezen gelijke waarde of meerwaarde hebben</w:t>
      </w:r>
      <w:r w:rsidR="009D3BCF">
        <w:t xml:space="preserve"> ten opzichte van </w:t>
      </w:r>
      <w:r w:rsidR="009F35E2">
        <w:t xml:space="preserve">de standaardbehandeling en ook verantwoorde uitgaven kennen. </w:t>
      </w:r>
      <w:r w:rsidR="00175A67">
        <w:t>D</w:t>
      </w:r>
      <w:r w:rsidR="00633521">
        <w:t>eze werkwijze</w:t>
      </w:r>
      <w:r w:rsidR="00175A67">
        <w:t xml:space="preserve"> betekent dat </w:t>
      </w:r>
      <w:r w:rsidR="00993CB8">
        <w:t>(</w:t>
      </w:r>
      <w:r w:rsidR="00175A67">
        <w:t>d</w:t>
      </w:r>
      <w:r w:rsidR="00D043C3">
        <w:t>ure</w:t>
      </w:r>
      <w:r w:rsidR="00993CB8">
        <w:t>)</w:t>
      </w:r>
      <w:r w:rsidR="00D043C3">
        <w:t xml:space="preserve"> genees</w:t>
      </w:r>
      <w:r w:rsidR="00175A67">
        <w:t xml:space="preserve">middelen niet direct beschikbaar zijn voor de patiënt. </w:t>
      </w:r>
      <w:r w:rsidR="00E16E9C">
        <w:t>Een zorgvuldige beoordelingsprocedure</w:t>
      </w:r>
      <w:r w:rsidR="006E3501">
        <w:t xml:space="preserve"> kost</w:t>
      </w:r>
      <w:r w:rsidR="00E16E9C">
        <w:t xml:space="preserve"> tijd</w:t>
      </w:r>
      <w:r w:rsidR="00175A67">
        <w:t>.</w:t>
      </w:r>
      <w:r w:rsidR="00175A67">
        <w:rPr>
          <w:szCs w:val="18"/>
        </w:rPr>
        <w:t xml:space="preserve"> </w:t>
      </w:r>
      <w:r w:rsidRPr="007B0FD0">
        <w:rPr>
          <w:szCs w:val="18"/>
        </w:rPr>
        <w:t>Uiteraard heb ik</w:t>
      </w:r>
      <w:r w:rsidR="004B5592">
        <w:rPr>
          <w:szCs w:val="18"/>
        </w:rPr>
        <w:t xml:space="preserve"> net als </w:t>
      </w:r>
      <w:r w:rsidR="00175A67">
        <w:rPr>
          <w:szCs w:val="18"/>
        </w:rPr>
        <w:t xml:space="preserve">andere partijen die betrokken zijn bij de </w:t>
      </w:r>
      <w:r w:rsidR="00633521">
        <w:rPr>
          <w:szCs w:val="18"/>
        </w:rPr>
        <w:t xml:space="preserve">vergoeding van </w:t>
      </w:r>
      <w:r w:rsidR="00993CB8">
        <w:rPr>
          <w:szCs w:val="18"/>
        </w:rPr>
        <w:t>(</w:t>
      </w:r>
      <w:r w:rsidR="00633521">
        <w:rPr>
          <w:szCs w:val="18"/>
        </w:rPr>
        <w:t>dure</w:t>
      </w:r>
      <w:r w:rsidR="00993CB8">
        <w:rPr>
          <w:szCs w:val="18"/>
        </w:rPr>
        <w:t>)</w:t>
      </w:r>
      <w:r w:rsidR="00633521">
        <w:rPr>
          <w:szCs w:val="18"/>
        </w:rPr>
        <w:t xml:space="preserve"> geneesmiddelen</w:t>
      </w:r>
      <w:r w:rsidR="00175A67">
        <w:rPr>
          <w:szCs w:val="18"/>
        </w:rPr>
        <w:t>,</w:t>
      </w:r>
      <w:r w:rsidRPr="007B0FD0">
        <w:rPr>
          <w:szCs w:val="18"/>
        </w:rPr>
        <w:t xml:space="preserve"> oog voor</w:t>
      </w:r>
      <w:r w:rsidR="004B5592">
        <w:rPr>
          <w:szCs w:val="18"/>
        </w:rPr>
        <w:t xml:space="preserve"> </w:t>
      </w:r>
      <w:r w:rsidRPr="007B0FD0">
        <w:rPr>
          <w:szCs w:val="18"/>
        </w:rPr>
        <w:t>patiënten die hun, soms enige, hoop gevestigd hebben op een nieuw</w:t>
      </w:r>
      <w:r w:rsidR="00993CB8">
        <w:rPr>
          <w:szCs w:val="18"/>
        </w:rPr>
        <w:t xml:space="preserve"> </w:t>
      </w:r>
      <w:r w:rsidRPr="007B0FD0">
        <w:rPr>
          <w:szCs w:val="18"/>
        </w:rPr>
        <w:t xml:space="preserve">geneesmiddel. Maar het is </w:t>
      </w:r>
      <w:r w:rsidR="00D043C3">
        <w:rPr>
          <w:szCs w:val="18"/>
        </w:rPr>
        <w:t>onze gezamenlijke</w:t>
      </w:r>
      <w:r w:rsidRPr="007B0FD0">
        <w:rPr>
          <w:szCs w:val="18"/>
        </w:rPr>
        <w:t xml:space="preserve"> verantwoordelijkheid om de belangen van deze patiënten af te wegen tegen de belangen van alle patiënten, ook die in de toekomst. Als </w:t>
      </w:r>
      <w:r w:rsidR="00D043C3">
        <w:rPr>
          <w:szCs w:val="18"/>
        </w:rPr>
        <w:t>we</w:t>
      </w:r>
      <w:r w:rsidRPr="007B0FD0">
        <w:rPr>
          <w:szCs w:val="18"/>
        </w:rPr>
        <w:t xml:space="preserve"> nu geen keuzes mak</w:t>
      </w:r>
      <w:r w:rsidR="00D043C3">
        <w:rPr>
          <w:szCs w:val="18"/>
        </w:rPr>
        <w:t>en</w:t>
      </w:r>
      <w:r w:rsidRPr="007B0FD0">
        <w:rPr>
          <w:szCs w:val="18"/>
        </w:rPr>
        <w:t xml:space="preserve"> en de uitgaven aan dure geneesmiddelen niet beheers</w:t>
      </w:r>
      <w:r w:rsidR="00D043C3">
        <w:rPr>
          <w:szCs w:val="18"/>
        </w:rPr>
        <w:t>en</w:t>
      </w:r>
      <w:r w:rsidRPr="007B0FD0">
        <w:rPr>
          <w:szCs w:val="18"/>
        </w:rPr>
        <w:t xml:space="preserve">, kan de toegang tot </w:t>
      </w:r>
      <w:r w:rsidR="00993CB8">
        <w:rPr>
          <w:szCs w:val="18"/>
        </w:rPr>
        <w:t>nieuwe</w:t>
      </w:r>
      <w:r w:rsidRPr="007B0FD0">
        <w:rPr>
          <w:szCs w:val="18"/>
        </w:rPr>
        <w:t xml:space="preserve"> geneesmiddelen </w:t>
      </w:r>
      <w:r w:rsidR="005647B5">
        <w:rPr>
          <w:szCs w:val="18"/>
        </w:rPr>
        <w:t>of andere effectieve zorg voor patiënten</w:t>
      </w:r>
      <w:r w:rsidRPr="007B0FD0" w:rsidR="005647B5">
        <w:rPr>
          <w:szCs w:val="18"/>
        </w:rPr>
        <w:t xml:space="preserve"> </w:t>
      </w:r>
      <w:r w:rsidRPr="007B0FD0">
        <w:rPr>
          <w:szCs w:val="18"/>
        </w:rPr>
        <w:t>in de toekomst in het gedrang komen.</w:t>
      </w:r>
      <w:r>
        <w:rPr>
          <w:szCs w:val="18"/>
        </w:rPr>
        <w:t xml:space="preserve"> </w:t>
      </w:r>
      <w:r w:rsidRPr="007B0FD0">
        <w:rPr>
          <w:szCs w:val="18"/>
        </w:rPr>
        <w:t xml:space="preserve">Ik wijs daarbij op de verantwoordelijkheid van </w:t>
      </w:r>
      <w:r w:rsidR="00C75F52">
        <w:rPr>
          <w:szCs w:val="18"/>
        </w:rPr>
        <w:t>fabrikanten</w:t>
      </w:r>
      <w:r w:rsidRPr="007B0FD0" w:rsidR="00C75F52">
        <w:rPr>
          <w:szCs w:val="18"/>
        </w:rPr>
        <w:t xml:space="preserve"> </w:t>
      </w:r>
      <w:r w:rsidRPr="007B0FD0">
        <w:rPr>
          <w:szCs w:val="18"/>
        </w:rPr>
        <w:t>om maatschappelijk verantwoorde prijzen te vragen. Natuurlijk mag er voor het nemen van financiële risico’s een beloning gevraagd worden, maar deze moet wel maatschappelijk te dragen zijn</w:t>
      </w:r>
      <w:r w:rsidR="006E3501">
        <w:rPr>
          <w:szCs w:val="18"/>
        </w:rPr>
        <w:t>,</w:t>
      </w:r>
      <w:r>
        <w:rPr>
          <w:szCs w:val="18"/>
        </w:rPr>
        <w:t xml:space="preserve"> </w:t>
      </w:r>
      <w:r w:rsidRPr="007B0FD0">
        <w:rPr>
          <w:szCs w:val="18"/>
        </w:rPr>
        <w:t>financieel</w:t>
      </w:r>
      <w:r>
        <w:rPr>
          <w:szCs w:val="18"/>
        </w:rPr>
        <w:t>,</w:t>
      </w:r>
      <w:r w:rsidRPr="007B0FD0">
        <w:rPr>
          <w:szCs w:val="18"/>
        </w:rPr>
        <w:t xml:space="preserve"> maar ook moreel.  </w:t>
      </w:r>
    </w:p>
    <w:p w:rsidR="00A959E1" w:rsidP="000D6026" w:rsidRDefault="00A959E1" w14:paraId="7954B5C1" w14:textId="77777777">
      <w:pPr>
        <w:suppressAutoHyphens/>
        <w:rPr>
          <w:szCs w:val="18"/>
        </w:rPr>
      </w:pPr>
    </w:p>
    <w:p w:rsidRPr="00823F8B" w:rsidR="00A959E1" w:rsidP="000D6026" w:rsidRDefault="00000000" w14:paraId="41CDAD8A" w14:textId="77777777">
      <w:pPr>
        <w:suppressAutoHyphens/>
        <w:spacing w:line="240" w:lineRule="exact"/>
        <w:rPr>
          <w:szCs w:val="18"/>
        </w:rPr>
      </w:pPr>
      <w:r w:rsidRPr="00823F8B">
        <w:rPr>
          <w:szCs w:val="18"/>
        </w:rPr>
        <w:lastRenderedPageBreak/>
        <w:t>Tegen die context wil ik aangeven dat ik de zorgen van mensen met kanker in Nederland heel goed begrijp. Tegelijk is het zo dat u</w:t>
      </w:r>
      <w:r w:rsidRPr="00823F8B" w:rsidR="00044716">
        <w:rPr>
          <w:szCs w:val="18"/>
        </w:rPr>
        <w:t>it recent</w:t>
      </w:r>
      <w:r w:rsidR="00F352F9">
        <w:rPr>
          <w:szCs w:val="18"/>
        </w:rPr>
        <w:t xml:space="preserve"> onderzoek </w:t>
      </w:r>
      <w:r w:rsidRPr="00823F8B" w:rsidR="00823F8B">
        <w:rPr>
          <w:szCs w:val="18"/>
        </w:rPr>
        <w:t>van de universiteit Utrecht</w:t>
      </w:r>
      <w:r>
        <w:rPr>
          <w:rStyle w:val="Voetnootmarkering"/>
          <w:szCs w:val="18"/>
        </w:rPr>
        <w:footnoteReference w:id="3"/>
      </w:r>
      <w:r w:rsidR="00823F8B">
        <w:rPr>
          <w:szCs w:val="18"/>
        </w:rPr>
        <w:t xml:space="preserve"> is gebleken</w:t>
      </w:r>
      <w:r w:rsidRPr="00823F8B" w:rsidR="00823F8B">
        <w:rPr>
          <w:szCs w:val="18"/>
        </w:rPr>
        <w:t xml:space="preserve">, dat lang niet alle nieuwe kankergeneesmiddelen van toegevoegde waarde zijn. Dat geldt vooral voor geneesmiddelen die versneld </w:t>
      </w:r>
      <w:r w:rsidR="005647B5">
        <w:rPr>
          <w:szCs w:val="18"/>
        </w:rPr>
        <w:t xml:space="preserve">tot de markt </w:t>
      </w:r>
      <w:r w:rsidRPr="00823F8B" w:rsidR="00823F8B">
        <w:rPr>
          <w:szCs w:val="18"/>
        </w:rPr>
        <w:t>werden toegelaten</w:t>
      </w:r>
      <w:r w:rsidR="00C75F52">
        <w:rPr>
          <w:szCs w:val="18"/>
        </w:rPr>
        <w:t xml:space="preserve"> met beperkt wetenschappelijk bewijs</w:t>
      </w:r>
      <w:r w:rsidRPr="00823F8B" w:rsidR="00823F8B">
        <w:rPr>
          <w:szCs w:val="18"/>
        </w:rPr>
        <w:t xml:space="preserve">. De </w:t>
      </w:r>
      <w:r w:rsidR="00823F8B">
        <w:rPr>
          <w:szCs w:val="18"/>
        </w:rPr>
        <w:t xml:space="preserve">beroepsverenging </w:t>
      </w:r>
      <w:r w:rsidRPr="00823F8B" w:rsidR="00823F8B">
        <w:rPr>
          <w:szCs w:val="18"/>
        </w:rPr>
        <w:t>N</w:t>
      </w:r>
      <w:r w:rsidR="00823F8B">
        <w:rPr>
          <w:szCs w:val="18"/>
        </w:rPr>
        <w:t xml:space="preserve">ederlandse </w:t>
      </w:r>
      <w:r w:rsidRPr="00823F8B" w:rsidR="00823F8B">
        <w:rPr>
          <w:szCs w:val="18"/>
        </w:rPr>
        <w:t>V</w:t>
      </w:r>
      <w:r w:rsidR="00823F8B">
        <w:rPr>
          <w:szCs w:val="18"/>
        </w:rPr>
        <w:t xml:space="preserve">ereniging voor </w:t>
      </w:r>
      <w:r w:rsidRPr="00823F8B" w:rsidR="00823F8B">
        <w:rPr>
          <w:szCs w:val="18"/>
        </w:rPr>
        <w:t>M</w:t>
      </w:r>
      <w:r w:rsidR="00823F8B">
        <w:rPr>
          <w:szCs w:val="18"/>
        </w:rPr>
        <w:t xml:space="preserve">edische </w:t>
      </w:r>
      <w:r w:rsidRPr="00823F8B" w:rsidR="00823F8B">
        <w:rPr>
          <w:szCs w:val="18"/>
        </w:rPr>
        <w:t>O</w:t>
      </w:r>
      <w:r w:rsidR="00823F8B">
        <w:rPr>
          <w:szCs w:val="18"/>
        </w:rPr>
        <w:t>ncologie (NVMO)</w:t>
      </w:r>
      <w:r w:rsidRPr="00823F8B" w:rsidR="00823F8B">
        <w:rPr>
          <w:szCs w:val="18"/>
        </w:rPr>
        <w:t xml:space="preserve"> </w:t>
      </w:r>
      <w:r w:rsidR="004B5592">
        <w:rPr>
          <w:szCs w:val="18"/>
        </w:rPr>
        <w:t>geeft aan dat</w:t>
      </w:r>
      <w:r w:rsidR="006E3501">
        <w:rPr>
          <w:szCs w:val="18"/>
        </w:rPr>
        <w:t>,</w:t>
      </w:r>
      <w:r w:rsidR="004B5592">
        <w:rPr>
          <w:szCs w:val="18"/>
        </w:rPr>
        <w:t xml:space="preserve"> </w:t>
      </w:r>
      <w:r w:rsidRPr="00823F8B" w:rsidR="00823F8B">
        <w:rPr>
          <w:szCs w:val="18"/>
        </w:rPr>
        <w:t xml:space="preserve">omdat </w:t>
      </w:r>
      <w:r w:rsidRPr="00823F8B" w:rsidR="00823F8B">
        <w:t>d</w:t>
      </w:r>
      <w:r w:rsidRPr="00823F8B" w:rsidR="00373995">
        <w:t xml:space="preserve">e regels voor het toelaten van geneesmiddelen in Europa in de afgelopen jaren steeds soepeler </w:t>
      </w:r>
      <w:r w:rsidRPr="00823F8B" w:rsidR="005E6F29">
        <w:t xml:space="preserve">zijn </w:t>
      </w:r>
      <w:r w:rsidRPr="00823F8B" w:rsidR="00373995">
        <w:t>geworden</w:t>
      </w:r>
      <w:r w:rsidRPr="00823F8B" w:rsidR="00823F8B">
        <w:t>,</w:t>
      </w:r>
      <w:r w:rsidRPr="00823F8B" w:rsidR="00373995">
        <w:t xml:space="preserve"> </w:t>
      </w:r>
      <w:r w:rsidR="00C75F52">
        <w:t>kankergeneesmiddelen</w:t>
      </w:r>
      <w:r w:rsidRPr="00823F8B" w:rsidR="00373995">
        <w:t xml:space="preserve"> op de markt</w:t>
      </w:r>
      <w:r w:rsidRPr="00823F8B" w:rsidR="00823F8B">
        <w:t xml:space="preserve"> komen</w:t>
      </w:r>
      <w:r w:rsidRPr="00823F8B" w:rsidR="00373995">
        <w:t xml:space="preserve"> die weliswaar werkzaam zijn (er is een effect)</w:t>
      </w:r>
      <w:r w:rsidRPr="00823F8B" w:rsidR="00823F8B">
        <w:t>,</w:t>
      </w:r>
      <w:r w:rsidRPr="00823F8B" w:rsidR="00373995">
        <w:t xml:space="preserve"> maar waarvan de vraag is of </w:t>
      </w:r>
      <w:r w:rsidR="00E16E9C">
        <w:t>deze</w:t>
      </w:r>
      <w:r w:rsidRPr="00823F8B" w:rsidR="00373995">
        <w:t xml:space="preserve"> ook echt voordelen bied</w:t>
      </w:r>
      <w:r w:rsidR="00E16E9C">
        <w:t>en</w:t>
      </w:r>
      <w:r w:rsidRPr="00823F8B" w:rsidR="00373995">
        <w:t xml:space="preserve"> voor de patiënt met kanker. </w:t>
      </w:r>
      <w:r w:rsidRPr="00823F8B" w:rsidR="00823F8B">
        <w:t>Zij wijst er daarbij ook op dat e</w:t>
      </w:r>
      <w:r w:rsidRPr="00823F8B" w:rsidR="00373995">
        <w:t>en kankermedicijn meestal ook (ernstige) bijwerkingen</w:t>
      </w:r>
      <w:r w:rsidRPr="00823F8B" w:rsidR="00823F8B">
        <w:t xml:space="preserve"> heeft</w:t>
      </w:r>
      <w:r w:rsidRPr="00823F8B" w:rsidR="00373995">
        <w:t>.</w:t>
      </w:r>
      <w:r w:rsidRPr="00823F8B" w:rsidR="00823F8B">
        <w:t xml:space="preserve"> </w:t>
      </w:r>
      <w:r w:rsidR="00E16E9C">
        <w:t xml:space="preserve">Ik ben </w:t>
      </w:r>
      <w:r w:rsidR="00993CB8">
        <w:t>het</w:t>
      </w:r>
      <w:r w:rsidR="00E16E9C">
        <w:t xml:space="preserve"> met de NVMO eens en vind </w:t>
      </w:r>
      <w:r w:rsidR="00823F8B">
        <w:t>een</w:t>
      </w:r>
      <w:r w:rsidRPr="00823F8B" w:rsidR="00823F8B">
        <w:t xml:space="preserve"> zorgvuldige procedure voor de vergoeding van deze middelen </w:t>
      </w:r>
      <w:r w:rsidR="00565470">
        <w:t xml:space="preserve">daarom </w:t>
      </w:r>
      <w:r w:rsidRPr="00823F8B" w:rsidR="00823F8B">
        <w:t>belangrijk, ook al</w:t>
      </w:r>
      <w:r w:rsidR="00823F8B">
        <w:t>s</w:t>
      </w:r>
      <w:r w:rsidRPr="00823F8B" w:rsidR="00823F8B">
        <w:t xml:space="preserve"> </w:t>
      </w:r>
      <w:r w:rsidR="00823F8B">
        <w:t>dat kan betekenen dat patiënten dan (tijdelijk) geen toegang hebben tot een nieuw geneesmiddel.</w:t>
      </w:r>
      <w:r w:rsidR="00E16E9C">
        <w:t xml:space="preserve"> Wel wil ik ervoor zorgen dat de doorlooptijd niet langer duurt dan nodig. Daarop is mijn beleid dan ook gericht.</w:t>
      </w:r>
      <w:r w:rsidRPr="00823F8B" w:rsidR="00823F8B">
        <w:t xml:space="preserve"> </w:t>
      </w:r>
    </w:p>
    <w:p w:rsidR="005855A6" w:rsidP="000D6026" w:rsidRDefault="005855A6" w14:paraId="0A876DDD" w14:textId="77777777">
      <w:pPr>
        <w:suppressAutoHyphens/>
        <w:spacing w:after="160" w:line="259" w:lineRule="auto"/>
        <w:contextualSpacing/>
      </w:pPr>
    </w:p>
    <w:p w:rsidRPr="003D50C3" w:rsidR="005855A6" w:rsidP="000D6026" w:rsidRDefault="00000000" w14:paraId="088E6BE3" w14:textId="77777777">
      <w:pPr>
        <w:suppressAutoHyphens/>
        <w:spacing w:after="160" w:line="259" w:lineRule="auto"/>
        <w:contextualSpacing/>
        <w:rPr>
          <w:b/>
          <w:bCs/>
        </w:rPr>
      </w:pPr>
      <w:r w:rsidRPr="003D50C3">
        <w:rPr>
          <w:b/>
          <w:bCs/>
        </w:rPr>
        <w:t>Vraag 2</w:t>
      </w:r>
    </w:p>
    <w:p w:rsidR="005855A6" w:rsidP="000D6026" w:rsidRDefault="00000000" w14:paraId="5ACDAA92" w14:textId="77777777">
      <w:pPr>
        <w:suppressAutoHyphens/>
        <w:spacing w:after="160" w:line="259" w:lineRule="auto"/>
        <w:contextualSpacing/>
      </w:pPr>
      <w:r>
        <w:t>Kunt u aangeven waarom Nederland vrijwel het enige land in de Europese Unie (EU) is dat nog geen toegang heeft tot een specifiek borstkankermiddel, terwijl dit middel in de meeste Europese landen al de standaardbehandeling is? Wat zijn de specifieke redenen voor de lange wachttijd in Nederland?</w:t>
      </w:r>
    </w:p>
    <w:p w:rsidR="00443CB7" w:rsidP="000D6026" w:rsidRDefault="00443CB7" w14:paraId="1F158B57" w14:textId="77777777">
      <w:pPr>
        <w:suppressAutoHyphens/>
        <w:spacing w:after="160" w:line="259" w:lineRule="auto"/>
        <w:contextualSpacing/>
      </w:pPr>
    </w:p>
    <w:p w:rsidRPr="003D50C3" w:rsidR="005855A6" w:rsidP="000D6026" w:rsidRDefault="00000000" w14:paraId="188F5C74" w14:textId="77777777">
      <w:pPr>
        <w:suppressAutoHyphens/>
        <w:spacing w:after="160" w:line="259" w:lineRule="auto"/>
        <w:contextualSpacing/>
        <w:rPr>
          <w:b/>
          <w:bCs/>
        </w:rPr>
      </w:pPr>
      <w:r w:rsidRPr="003D50C3">
        <w:rPr>
          <w:b/>
          <w:bCs/>
        </w:rPr>
        <w:t>Vraag 3</w:t>
      </w:r>
    </w:p>
    <w:p w:rsidR="005855A6" w:rsidP="000D6026" w:rsidRDefault="00000000" w14:paraId="4EDA8B6E" w14:textId="77777777">
      <w:pPr>
        <w:suppressAutoHyphens/>
        <w:spacing w:after="160" w:line="259" w:lineRule="auto"/>
        <w:contextualSpacing/>
      </w:pPr>
      <w:r>
        <w:t>In hoeverre vindt u het acceptabel dat zorgverzekeraars mensen met kanker hun behandeling blijven ontzeggen, gezien de vertragingen in het proces en de stand van zaken in ons omringende landen? Hoe ziet u de gevolgen van het veranderen van de aanspraakstatus naar 'nee, mits' op de kwaliteit en toegankelijkheid van geneesmiddelen voor patiënten?</w:t>
      </w:r>
    </w:p>
    <w:p w:rsidR="00293E4B" w:rsidP="000D6026" w:rsidRDefault="00293E4B" w14:paraId="3123EB21" w14:textId="77777777">
      <w:pPr>
        <w:suppressAutoHyphens/>
        <w:spacing w:after="160" w:line="259" w:lineRule="auto"/>
        <w:contextualSpacing/>
      </w:pPr>
    </w:p>
    <w:p w:rsidRPr="003D50C3" w:rsidR="00281100" w:rsidP="000D6026" w:rsidRDefault="00000000" w14:paraId="4A00279B" w14:textId="77777777">
      <w:pPr>
        <w:suppressAutoHyphens/>
        <w:spacing w:after="160" w:line="259" w:lineRule="auto"/>
        <w:contextualSpacing/>
        <w:rPr>
          <w:b/>
          <w:bCs/>
        </w:rPr>
      </w:pPr>
      <w:r w:rsidRPr="003D50C3">
        <w:rPr>
          <w:b/>
          <w:bCs/>
        </w:rPr>
        <w:t>Antwoord 2 en 3</w:t>
      </w:r>
    </w:p>
    <w:p w:rsidR="00AF56C3" w:rsidP="000D6026" w:rsidRDefault="00000000" w14:paraId="02FC3E41" w14:textId="77777777">
      <w:pPr>
        <w:suppressAutoHyphens/>
        <w:spacing w:after="160" w:line="259" w:lineRule="auto"/>
        <w:contextualSpacing/>
      </w:pPr>
      <w:r>
        <w:t xml:space="preserve">Ik begrijp dat gedoeld wordt op het middel pembrolizumab van de </w:t>
      </w:r>
      <w:r w:rsidR="00C75F52">
        <w:t xml:space="preserve">fabrikant </w:t>
      </w:r>
      <w:r>
        <w:t>MSD. Pembrolizumab heeft in de sluis gestaan, waarna een zogeheten breed</w:t>
      </w:r>
      <w:r w:rsidR="00F9459B">
        <w:t xml:space="preserve"> financieel</w:t>
      </w:r>
      <w:r>
        <w:t xml:space="preserve"> arrangement is overeengekomen. Dat betekent dat het </w:t>
      </w:r>
      <w:r w:rsidR="00F9459B">
        <w:t xml:space="preserve">financieel </w:t>
      </w:r>
      <w:r>
        <w:t xml:space="preserve">arrangement ook </w:t>
      </w:r>
      <w:r w:rsidR="00993CB8">
        <w:t xml:space="preserve">geldt </w:t>
      </w:r>
      <w:r>
        <w:t xml:space="preserve">voor toekomstige indicaties waarvoor dit middel ingezet kan worden. Voorwaarde </w:t>
      </w:r>
      <w:r w:rsidR="008A6F60">
        <w:t xml:space="preserve">is uiteraard wel dat </w:t>
      </w:r>
      <w:r w:rsidR="00C66144">
        <w:t>nog wordt vastgesteld dat die nieuwe indicaties voldoen aan</w:t>
      </w:r>
      <w:r>
        <w:t xml:space="preserve"> </w:t>
      </w:r>
      <w:r w:rsidR="00C66144">
        <w:t xml:space="preserve">het wettelijke criterium </w:t>
      </w:r>
      <w:r>
        <w:t>stand van de wetenschap en praktijk</w:t>
      </w:r>
      <w:r w:rsidR="00C66144">
        <w:t>, oftewel dat er voldoende zekerheid is over de effectiviteit</w:t>
      </w:r>
      <w:r>
        <w:t>. Het is aan de zorgverzekeraars om dat te beoordelen</w:t>
      </w:r>
      <w:r w:rsidR="00F352F9">
        <w:t xml:space="preserve">, zowel bij sluismiddelen </w:t>
      </w:r>
      <w:r w:rsidR="00C75F52">
        <w:t>met</w:t>
      </w:r>
      <w:r w:rsidR="00F352F9">
        <w:t xml:space="preserve"> een breed </w:t>
      </w:r>
      <w:r>
        <w:t xml:space="preserve">financieel </w:t>
      </w:r>
      <w:r w:rsidR="00F352F9">
        <w:t>arrangement als bij dure geneesmiddelen die niet in de sluis zijn geplaatst</w:t>
      </w:r>
      <w:r>
        <w:rPr>
          <w:rStyle w:val="Voetnootmarkering"/>
        </w:rPr>
        <w:footnoteReference w:id="4"/>
      </w:r>
      <w:r>
        <w:t>. Dat doen z</w:t>
      </w:r>
      <w:r w:rsidR="00993CB8">
        <w:t>orgverzekeraars</w:t>
      </w:r>
      <w:r>
        <w:t xml:space="preserve"> gezamenlijk in de Commissie Beoordeling Add-on Geneesmiddelen (CieBAG)</w:t>
      </w:r>
      <w:r w:rsidR="00B37B57">
        <w:t xml:space="preserve">. De CieBAG zoekt hierbij afstemming met de beroepsgroep, onder meer om de plaatsbepaling goed in beeld te hebben. </w:t>
      </w:r>
    </w:p>
    <w:p w:rsidR="00AF56C3" w:rsidP="000D6026" w:rsidRDefault="00AF56C3" w14:paraId="21ECE808" w14:textId="77777777">
      <w:pPr>
        <w:suppressAutoHyphens/>
        <w:spacing w:after="160" w:line="259" w:lineRule="auto"/>
        <w:contextualSpacing/>
      </w:pPr>
    </w:p>
    <w:p w:rsidR="00281100" w:rsidP="000D6026" w:rsidRDefault="00000000" w14:paraId="188E3907" w14:textId="77777777">
      <w:pPr>
        <w:suppressAutoHyphens/>
        <w:spacing w:after="160" w:line="259" w:lineRule="auto"/>
        <w:contextualSpacing/>
      </w:pPr>
      <w:r>
        <w:t xml:space="preserve">Nadat </w:t>
      </w:r>
      <w:r w:rsidR="006D4B00">
        <w:t xml:space="preserve">de Europese Commissie </w:t>
      </w:r>
      <w:r w:rsidRPr="008A6F60" w:rsidR="008A6F60">
        <w:t>in</w:t>
      </w:r>
      <w:r w:rsidRPr="008A6F60" w:rsidR="006D4B00">
        <w:t xml:space="preserve"> mei 2022</w:t>
      </w:r>
      <w:r>
        <w:t xml:space="preserve"> marktautorisatie heeft verleend aan </w:t>
      </w:r>
      <w:r w:rsidR="00993CB8">
        <w:t>pembrolizumab</w:t>
      </w:r>
      <w:r w:rsidR="008A6F60">
        <w:t xml:space="preserve"> </w:t>
      </w:r>
      <w:r>
        <w:t xml:space="preserve">voor de nieuwe indicatie (neo)adjuvante behandeling van </w:t>
      </w:r>
      <w:r>
        <w:lastRenderedPageBreak/>
        <w:t xml:space="preserve">volwassen </w:t>
      </w:r>
      <w:r w:rsidR="00DE4A52">
        <w:t>patiënten</w:t>
      </w:r>
      <w:r>
        <w:t xml:space="preserve"> met </w:t>
      </w:r>
      <w:r w:rsidR="005C317B">
        <w:t>triple-negatieve borstkanker</w:t>
      </w:r>
      <w:r>
        <w:rPr>
          <w:rStyle w:val="Voetnootmarkering"/>
        </w:rPr>
        <w:footnoteReference w:id="5"/>
      </w:r>
      <w:r>
        <w:t>, h</w:t>
      </w:r>
      <w:r w:rsidR="00B634E9">
        <w:t>eeft</w:t>
      </w:r>
      <w:r>
        <w:t xml:space="preserve"> de </w:t>
      </w:r>
      <w:r w:rsidR="00B634E9">
        <w:t>CieBAG</w:t>
      </w:r>
      <w:r>
        <w:t xml:space="preserve"> geconstateerd dat </w:t>
      </w:r>
      <w:r w:rsidR="00A2591B">
        <w:t xml:space="preserve">er </w:t>
      </w:r>
      <w:r>
        <w:t xml:space="preserve">veel onzekerheden zijn over de stand van de wetenschap en praktijk van pembrolizumab bij deze </w:t>
      </w:r>
      <w:r w:rsidR="005C317B">
        <w:t xml:space="preserve">groep </w:t>
      </w:r>
      <w:r>
        <w:t xml:space="preserve">patiënten. Vanwege de complexiteit van de beschikbare wetenschappelijke gegevens hebben de zorgverzekeraars </w:t>
      </w:r>
      <w:r w:rsidR="008A6F60">
        <w:t>in</w:t>
      </w:r>
      <w:r>
        <w:t xml:space="preserve"> april 2023 het Zorginstituut </w:t>
      </w:r>
      <w:r w:rsidR="006E3501">
        <w:t xml:space="preserve">Nederland </w:t>
      </w:r>
      <w:r>
        <w:t>als pakketbeheerder verzocht om een duiding uit te voeren</w:t>
      </w:r>
      <w:r>
        <w:rPr>
          <w:rStyle w:val="Voetnootmarkering"/>
        </w:rPr>
        <w:footnoteReference w:id="6"/>
      </w:r>
      <w:r>
        <w:t xml:space="preserve">. </w:t>
      </w:r>
      <w:r w:rsidRPr="00BF7E0A" w:rsidR="00BF7E0A">
        <w:t>D</w:t>
      </w:r>
      <w:r w:rsidR="00BF7E0A">
        <w:t>a</w:t>
      </w:r>
      <w:r w:rsidRPr="00BF7E0A" w:rsidR="00BF7E0A">
        <w:t>t houdt onder meer in dat het Zorginstituut aan de hand van de geldende wet</w:t>
      </w:r>
      <w:r w:rsidR="00AF56C3">
        <w:t xml:space="preserve">- </w:t>
      </w:r>
      <w:r w:rsidRPr="00BF7E0A" w:rsidR="00BF7E0A">
        <w:t>en regelgeving beoordeel</w:t>
      </w:r>
      <w:r w:rsidR="00BF7E0A">
        <w:t>t</w:t>
      </w:r>
      <w:r w:rsidRPr="00BF7E0A" w:rsidR="00BF7E0A">
        <w:t xml:space="preserve"> </w:t>
      </w:r>
      <w:r w:rsidR="00BF7E0A">
        <w:t xml:space="preserve">of deze </w:t>
      </w:r>
      <w:r w:rsidRPr="00BF7E0A" w:rsidR="00BF7E0A">
        <w:t>zorg deel uitmaakt van het basispakket</w:t>
      </w:r>
      <w:r w:rsidR="00BF7E0A">
        <w:t>.</w:t>
      </w:r>
      <w:r w:rsidRPr="00BF7E0A" w:rsidR="00BF7E0A">
        <w:t xml:space="preserve"> </w:t>
      </w:r>
      <w:r w:rsidR="00B35E0A">
        <w:t xml:space="preserve">Die duiding kan een specifiek geneesmiddel betreffen, maar ook meer algemeen, de uitgangspunten van een beoordeling. </w:t>
      </w:r>
      <w:r>
        <w:t xml:space="preserve">Voor een duiding door het Zorginstituut heeft de fabrikant een dossier moeten opstellen. In juni 2023 heeft het Zorginstituut </w:t>
      </w:r>
      <w:r w:rsidR="0082734C">
        <w:t>geconcludeerd</w:t>
      </w:r>
      <w:r>
        <w:t xml:space="preserve"> dat het dossier voldoende was om beoordeeld te worden. Ik verwacht dat het Zorginstituut de beoordeling </w:t>
      </w:r>
      <w:r w:rsidR="00565470">
        <w:t>op</w:t>
      </w:r>
      <w:r>
        <w:t xml:space="preserve"> </w:t>
      </w:r>
      <w:r w:rsidR="00565470">
        <w:t>korte termijn</w:t>
      </w:r>
      <w:r>
        <w:t xml:space="preserve"> zal afronden. Er zal dan duidelijkheid zijn of pembrolizumab voor de betreffende indicatie voldoet aan de stand van de wetenschap en praktijk</w:t>
      </w:r>
      <w:r>
        <w:rPr>
          <w:rStyle w:val="Voetnootmarkering"/>
        </w:rPr>
        <w:footnoteReference w:id="7"/>
      </w:r>
      <w:r>
        <w:t>.</w:t>
      </w:r>
    </w:p>
    <w:p w:rsidRPr="00756C65" w:rsidR="007206CF" w:rsidP="000D6026" w:rsidRDefault="00000000" w14:paraId="232E7BEA" w14:textId="77777777">
      <w:pPr>
        <w:pStyle w:val="Lijstopsomteken"/>
        <w:numPr>
          <w:ilvl w:val="0"/>
          <w:numId w:val="0"/>
        </w:numPr>
        <w:tabs>
          <w:tab w:val="clear" w:pos="567"/>
        </w:tabs>
        <w:suppressAutoHyphens/>
        <w:spacing w:line="240" w:lineRule="exact"/>
        <w:contextualSpacing/>
        <w:rPr>
          <w:szCs w:val="18"/>
        </w:rPr>
      </w:pPr>
      <w:r>
        <w:t>Het is</w:t>
      </w:r>
      <w:r w:rsidR="00D450DB">
        <w:t xml:space="preserve"> belangrijk dat </w:t>
      </w:r>
      <w:r w:rsidR="00D718D3">
        <w:t xml:space="preserve">het juiste </w:t>
      </w:r>
      <w:r w:rsidR="00D450DB">
        <w:t xml:space="preserve">geneesmiddel wordt ingezet bij </w:t>
      </w:r>
      <w:r w:rsidR="00D718D3">
        <w:t xml:space="preserve">de juiste </w:t>
      </w:r>
      <w:r w:rsidR="00D450DB">
        <w:t>patiënt</w:t>
      </w:r>
      <w:r w:rsidR="001F5F69">
        <w:t xml:space="preserve"> en daarmee bijdraagt aan passende zorg</w:t>
      </w:r>
      <w:r w:rsidR="00D718D3">
        <w:t xml:space="preserve">. </w:t>
      </w:r>
      <w:r w:rsidR="001F5F69">
        <w:t>Ik vind het dus goed dat de zorgverzekeraars en de beroepsgroep hun verantwoordelijkheid nemen</w:t>
      </w:r>
      <w:r>
        <w:t xml:space="preserve"> om hiervoor zorg te dragen.</w:t>
      </w:r>
      <w:r w:rsidR="001F5F69">
        <w:t xml:space="preserve"> In reactie op een verzoek </w:t>
      </w:r>
      <w:r w:rsidR="00613DDA">
        <w:t>van de branchevereniging van fabrikanten</w:t>
      </w:r>
      <w:r w:rsidR="00A2591B">
        <w:t xml:space="preserve"> van innovatieve geneesmiddelen</w:t>
      </w:r>
      <w:r>
        <w:t xml:space="preserve"> (de VIG) heeft d</w:t>
      </w:r>
      <w:r w:rsidR="003C0D2F">
        <w:t xml:space="preserve">e Nederlandse Zorgautoriteit </w:t>
      </w:r>
      <w:r w:rsidR="00565470">
        <w:t xml:space="preserve">(NZa) </w:t>
      </w:r>
      <w:r w:rsidR="003C0D2F">
        <w:t>in februari 2022 geoordeeld dat de werkwijze</w:t>
      </w:r>
      <w:r>
        <w:t xml:space="preserve"> van de CieBAG</w:t>
      </w:r>
      <w:r w:rsidR="003C0D2F">
        <w:t xml:space="preserve"> binnen de wettelijke kaders</w:t>
      </w:r>
      <w:r>
        <w:t>, waaronder de zorgplicht,</w:t>
      </w:r>
      <w:r w:rsidR="003C0D2F">
        <w:t xml:space="preserve"> valt</w:t>
      </w:r>
      <w:r>
        <w:rPr>
          <w:rStyle w:val="Voetnootmarkering"/>
        </w:rPr>
        <w:footnoteReference w:id="8"/>
      </w:r>
      <w:r w:rsidR="003C0D2F">
        <w:t>.</w:t>
      </w:r>
      <w:r>
        <w:t xml:space="preserve"> </w:t>
      </w:r>
      <w:r w:rsidRPr="00756C65">
        <w:rPr>
          <w:szCs w:val="18"/>
        </w:rPr>
        <w:t>Wel zag de NZa enkele verbeterpunten</w:t>
      </w:r>
      <w:r>
        <w:rPr>
          <w:szCs w:val="18"/>
        </w:rPr>
        <w:t>, die door de zorgverzekeraars</w:t>
      </w:r>
      <w:r w:rsidRPr="00756C65">
        <w:rPr>
          <w:szCs w:val="18"/>
        </w:rPr>
        <w:t xml:space="preserve"> zijn geadresseer</w:t>
      </w:r>
      <w:r>
        <w:rPr>
          <w:szCs w:val="18"/>
        </w:rPr>
        <w:t>d</w:t>
      </w:r>
      <w:r w:rsidRPr="00756C65">
        <w:rPr>
          <w:szCs w:val="18"/>
        </w:rPr>
        <w:t>.</w:t>
      </w:r>
      <w:r>
        <w:rPr>
          <w:szCs w:val="18"/>
        </w:rPr>
        <w:t xml:space="preserve"> </w:t>
      </w:r>
      <w:r w:rsidRPr="00756C65">
        <w:rPr>
          <w:szCs w:val="18"/>
        </w:rPr>
        <w:t xml:space="preserve">Zo </w:t>
      </w:r>
      <w:r w:rsidR="00A2591B">
        <w:rPr>
          <w:szCs w:val="18"/>
        </w:rPr>
        <w:t>zijn</w:t>
      </w:r>
      <w:r w:rsidRPr="00756C65">
        <w:rPr>
          <w:szCs w:val="18"/>
        </w:rPr>
        <w:t xml:space="preserve"> er</w:t>
      </w:r>
      <w:r w:rsidR="00A2591B">
        <w:rPr>
          <w:szCs w:val="18"/>
        </w:rPr>
        <w:t xml:space="preserve"> beslisbomen</w:t>
      </w:r>
      <w:r w:rsidRPr="00756C65">
        <w:rPr>
          <w:szCs w:val="18"/>
        </w:rPr>
        <w:t xml:space="preserve"> vastgesteld </w:t>
      </w:r>
      <w:r w:rsidR="00E03972">
        <w:rPr>
          <w:szCs w:val="18"/>
        </w:rPr>
        <w:t xml:space="preserve">en </w:t>
      </w:r>
      <w:r w:rsidRPr="00756C65">
        <w:rPr>
          <w:szCs w:val="18"/>
        </w:rPr>
        <w:t>publiceert Z</w:t>
      </w:r>
      <w:r>
        <w:rPr>
          <w:szCs w:val="18"/>
        </w:rPr>
        <w:t>orgverzekeraars Nederland</w:t>
      </w:r>
      <w:r w:rsidRPr="00756C65">
        <w:rPr>
          <w:szCs w:val="18"/>
        </w:rPr>
        <w:t xml:space="preserve"> </w:t>
      </w:r>
      <w:r w:rsidR="00565470">
        <w:rPr>
          <w:szCs w:val="18"/>
        </w:rPr>
        <w:t xml:space="preserve">(ZN) </w:t>
      </w:r>
      <w:r w:rsidRPr="00756C65">
        <w:rPr>
          <w:szCs w:val="18"/>
        </w:rPr>
        <w:t xml:space="preserve">de maandelijkse </w:t>
      </w:r>
      <w:r w:rsidRPr="007206CF">
        <w:rPr>
          <w:szCs w:val="18"/>
        </w:rPr>
        <w:t>wijzigingen van vergoede middelen</w:t>
      </w:r>
      <w:r w:rsidR="006E3501">
        <w:rPr>
          <w:szCs w:val="18"/>
        </w:rPr>
        <w:t>,</w:t>
      </w:r>
      <w:r w:rsidRPr="007206CF">
        <w:rPr>
          <w:szCs w:val="18"/>
        </w:rPr>
        <w:t xml:space="preserve"> alsmede </w:t>
      </w:r>
      <w:r w:rsidR="005E6F29">
        <w:rPr>
          <w:szCs w:val="18"/>
        </w:rPr>
        <w:t>e</w:t>
      </w:r>
      <w:r w:rsidRPr="007206CF">
        <w:rPr>
          <w:szCs w:val="18"/>
        </w:rPr>
        <w:t>en totaaloverzicht van de wijzigingen</w:t>
      </w:r>
      <w:r w:rsidR="006E3501">
        <w:rPr>
          <w:szCs w:val="18"/>
        </w:rPr>
        <w:t>,</w:t>
      </w:r>
      <w:r w:rsidRPr="007206CF">
        <w:rPr>
          <w:szCs w:val="18"/>
        </w:rPr>
        <w:t xml:space="preserve"> inclusief</w:t>
      </w:r>
      <w:r w:rsidRPr="007206CF">
        <w:rPr>
          <w:rStyle w:val="Hyperlink"/>
          <w:color w:val="auto"/>
          <w:szCs w:val="18"/>
          <w:u w:val="none"/>
        </w:rPr>
        <w:t xml:space="preserve"> standpunten </w:t>
      </w:r>
      <w:r w:rsidRPr="007206CF">
        <w:rPr>
          <w:rStyle w:val="Hyperlink"/>
          <w:color w:val="auto"/>
          <w:u w:val="none"/>
        </w:rPr>
        <w:t>over de door hen beoordeelde middelen op de eigen website</w:t>
      </w:r>
      <w:r>
        <w:rPr>
          <w:rStyle w:val="Voetnootmarkering"/>
        </w:rPr>
        <w:footnoteReference w:id="9"/>
      </w:r>
      <w:r w:rsidRPr="007206CF">
        <w:rPr>
          <w:szCs w:val="18"/>
        </w:rPr>
        <w:t>.</w:t>
      </w:r>
      <w:r>
        <w:rPr>
          <w:szCs w:val="18"/>
        </w:rPr>
        <w:t xml:space="preserve"> Ik vind dat een goede ontwikkeling. </w:t>
      </w:r>
      <w:r w:rsidR="00E03972">
        <w:rPr>
          <w:szCs w:val="18"/>
        </w:rPr>
        <w:t xml:space="preserve">In mijn ogen is </w:t>
      </w:r>
      <w:r>
        <w:rPr>
          <w:szCs w:val="18"/>
        </w:rPr>
        <w:t xml:space="preserve">de </w:t>
      </w:r>
      <w:r w:rsidR="00B35E0A">
        <w:rPr>
          <w:szCs w:val="18"/>
        </w:rPr>
        <w:t xml:space="preserve">transparantie </w:t>
      </w:r>
      <w:r>
        <w:rPr>
          <w:szCs w:val="18"/>
        </w:rPr>
        <w:t xml:space="preserve">over de doorlooptijden </w:t>
      </w:r>
      <w:r w:rsidR="001143C8">
        <w:rPr>
          <w:szCs w:val="18"/>
        </w:rPr>
        <w:t>van beoordelingen</w:t>
      </w:r>
      <w:r w:rsidR="00E03972">
        <w:rPr>
          <w:szCs w:val="18"/>
        </w:rPr>
        <w:t xml:space="preserve"> door de zorgverzekeraars</w:t>
      </w:r>
      <w:r w:rsidR="001143C8">
        <w:rPr>
          <w:szCs w:val="18"/>
        </w:rPr>
        <w:t xml:space="preserve"> </w:t>
      </w:r>
      <w:r w:rsidR="00921A58">
        <w:rPr>
          <w:szCs w:val="18"/>
        </w:rPr>
        <w:t xml:space="preserve">(zowel de feitelijke als streefinformatie) </w:t>
      </w:r>
      <w:r w:rsidR="00E03972">
        <w:rPr>
          <w:szCs w:val="18"/>
        </w:rPr>
        <w:t xml:space="preserve">nog </w:t>
      </w:r>
      <w:r w:rsidR="00BF7E0A">
        <w:rPr>
          <w:szCs w:val="18"/>
        </w:rPr>
        <w:t>voor verbetering vatbaar</w:t>
      </w:r>
      <w:r w:rsidR="00921A58">
        <w:rPr>
          <w:szCs w:val="18"/>
        </w:rPr>
        <w:t xml:space="preserve">. Ik </w:t>
      </w:r>
      <w:r w:rsidR="00E03972">
        <w:rPr>
          <w:szCs w:val="18"/>
        </w:rPr>
        <w:t xml:space="preserve">ben </w:t>
      </w:r>
      <w:r w:rsidR="00921A58">
        <w:rPr>
          <w:szCs w:val="18"/>
        </w:rPr>
        <w:t xml:space="preserve">daarover met ZN </w:t>
      </w:r>
      <w:r w:rsidR="00E03972">
        <w:rPr>
          <w:szCs w:val="18"/>
        </w:rPr>
        <w:t xml:space="preserve">in </w:t>
      </w:r>
      <w:r w:rsidR="00921A58">
        <w:rPr>
          <w:szCs w:val="18"/>
        </w:rPr>
        <w:t>gesprek.</w:t>
      </w:r>
    </w:p>
    <w:p w:rsidR="005855A6" w:rsidP="000D6026" w:rsidRDefault="005855A6" w14:paraId="49548697" w14:textId="77777777">
      <w:pPr>
        <w:suppressAutoHyphens/>
        <w:spacing w:after="160" w:line="259" w:lineRule="auto"/>
        <w:contextualSpacing/>
      </w:pPr>
    </w:p>
    <w:p w:rsidRPr="003D50C3" w:rsidR="005855A6" w:rsidP="000D6026" w:rsidRDefault="00000000" w14:paraId="4ABC2CBE" w14:textId="77777777">
      <w:pPr>
        <w:suppressAutoHyphens/>
        <w:spacing w:after="160" w:line="259" w:lineRule="auto"/>
        <w:contextualSpacing/>
        <w:rPr>
          <w:b/>
          <w:bCs/>
        </w:rPr>
      </w:pPr>
      <w:bookmarkStart w:name="_Hlk162942564" w:id="8"/>
      <w:r w:rsidRPr="003D50C3">
        <w:rPr>
          <w:b/>
          <w:bCs/>
        </w:rPr>
        <w:t>Vraag 4</w:t>
      </w:r>
    </w:p>
    <w:p w:rsidR="005855A6" w:rsidP="000D6026" w:rsidRDefault="00000000" w14:paraId="300D3F5B" w14:textId="77777777">
      <w:pPr>
        <w:suppressAutoHyphens/>
        <w:spacing w:after="160" w:line="259" w:lineRule="auto"/>
        <w:contextualSpacing/>
      </w:pPr>
      <w:r>
        <w:t>Zijn er internationale best practices of succesvolle modellen die kunnen worden geïmplementeerd om de wachttijden voor nieuwe kankerbehandelingen te verminderen? Zo ja, bent u bereid om samen te werken met andere landen en experts om te leren van hun ervaringen en deze in Nederland toe te passen, denk bijvoorbeeld aan onze buurlanden Frankrijk en Denemarken met kortere wachttijden?</w:t>
      </w:r>
    </w:p>
    <w:bookmarkEnd w:id="8"/>
    <w:p w:rsidR="005855A6" w:rsidP="000D6026" w:rsidRDefault="005855A6" w14:paraId="074440BB" w14:textId="77777777">
      <w:pPr>
        <w:suppressAutoHyphens/>
        <w:spacing w:after="160" w:line="259" w:lineRule="auto"/>
        <w:contextualSpacing/>
      </w:pPr>
    </w:p>
    <w:p w:rsidRPr="003D50C3" w:rsidR="00293E4B" w:rsidP="000D6026" w:rsidRDefault="00000000" w14:paraId="60740206" w14:textId="77777777">
      <w:pPr>
        <w:suppressAutoHyphens/>
        <w:spacing w:after="160" w:line="259" w:lineRule="auto"/>
        <w:contextualSpacing/>
        <w:rPr>
          <w:b/>
          <w:bCs/>
        </w:rPr>
      </w:pPr>
      <w:r w:rsidRPr="003D50C3">
        <w:rPr>
          <w:b/>
          <w:bCs/>
        </w:rPr>
        <w:t>Antwoord</w:t>
      </w:r>
      <w:r w:rsidRPr="003D50C3" w:rsidR="00432E53">
        <w:rPr>
          <w:b/>
          <w:bCs/>
        </w:rPr>
        <w:t xml:space="preserve"> 4</w:t>
      </w:r>
    </w:p>
    <w:p w:rsidRPr="00175A67" w:rsidR="00175A67" w:rsidP="000D6026" w:rsidRDefault="00000000" w14:paraId="5D7E93F1" w14:textId="77777777">
      <w:pPr>
        <w:suppressAutoHyphens/>
        <w:rPr>
          <w:szCs w:val="18"/>
        </w:rPr>
      </w:pPr>
      <w:r w:rsidRPr="00175A67">
        <w:rPr>
          <w:szCs w:val="18"/>
        </w:rPr>
        <w:t xml:space="preserve">Nederland werkt intensief samen met andere Europese landen op het gebied van geneesmiddelenbeleid, ook om te leren van goede voorbeelden. Helaas zie ik ook voor </w:t>
      </w:r>
      <w:r w:rsidR="00C22F8B">
        <w:rPr>
          <w:szCs w:val="18"/>
        </w:rPr>
        <w:t xml:space="preserve">kankergeneesmiddelen </w:t>
      </w:r>
      <w:r w:rsidRPr="00175A67">
        <w:rPr>
          <w:szCs w:val="18"/>
        </w:rPr>
        <w:t xml:space="preserve">op dit moment geen beter of slimmer systeem om geneesmiddelen sneller bij de </w:t>
      </w:r>
      <w:r w:rsidRPr="00175A67" w:rsidR="00C56B1F">
        <w:rPr>
          <w:szCs w:val="18"/>
        </w:rPr>
        <w:t>patiënt</w:t>
      </w:r>
      <w:r w:rsidRPr="00175A67">
        <w:rPr>
          <w:szCs w:val="18"/>
        </w:rPr>
        <w:t xml:space="preserve"> te krijgen. Ik verwijs u naar </w:t>
      </w:r>
      <w:r w:rsidR="00957CF0">
        <w:rPr>
          <w:szCs w:val="18"/>
        </w:rPr>
        <w:t>de</w:t>
      </w:r>
      <w:r w:rsidRPr="00175A67">
        <w:rPr>
          <w:szCs w:val="18"/>
        </w:rPr>
        <w:t xml:space="preserve"> brief van 22 januari 2024</w:t>
      </w:r>
      <w:r>
        <w:rPr>
          <w:rStyle w:val="Voetnootmarkering"/>
          <w:szCs w:val="18"/>
        </w:rPr>
        <w:footnoteReference w:id="10"/>
      </w:r>
      <w:r w:rsidR="00613DDA">
        <w:rPr>
          <w:szCs w:val="18"/>
        </w:rPr>
        <w:t xml:space="preserve"> </w:t>
      </w:r>
      <w:r w:rsidR="00957CF0">
        <w:t>van</w:t>
      </w:r>
      <w:r w:rsidRPr="00175A67">
        <w:t xml:space="preserve"> </w:t>
      </w:r>
      <w:r w:rsidR="00957CF0">
        <w:t xml:space="preserve">de minister van VWS, waarin verslag wordt gedaan van een </w:t>
      </w:r>
      <w:r w:rsidR="00487675">
        <w:lastRenderedPageBreak/>
        <w:t>verkenning</w:t>
      </w:r>
      <w:r w:rsidRPr="00175A67">
        <w:t xml:space="preserve"> naar mogelijkheden voor vroege toegang. Hierbij </w:t>
      </w:r>
      <w:r w:rsidR="00957CF0">
        <w:t>is</w:t>
      </w:r>
      <w:r w:rsidRPr="00175A67">
        <w:t xml:space="preserve"> ook naar Frankrijk gekeken. </w:t>
      </w:r>
      <w:r w:rsidR="00957CF0">
        <w:t>I</w:t>
      </w:r>
      <w:r w:rsidRPr="00175A67">
        <w:t xml:space="preserve">n </w:t>
      </w:r>
      <w:r w:rsidR="00957CF0">
        <w:t>deze brief wordt</w:t>
      </w:r>
      <w:r w:rsidRPr="00175A67">
        <w:t xml:space="preserve"> ook aangegeven dat </w:t>
      </w:r>
      <w:r w:rsidR="00487675">
        <w:t xml:space="preserve">wordt </w:t>
      </w:r>
      <w:r w:rsidR="00957CF0">
        <w:t>gewerkt aan</w:t>
      </w:r>
      <w:r w:rsidRPr="00175A67">
        <w:t xml:space="preserve"> diverse aanpassingen aan de vergoedingsprocedures</w:t>
      </w:r>
      <w:r w:rsidR="008E7546">
        <w:t>,</w:t>
      </w:r>
      <w:r w:rsidRPr="00175A67">
        <w:t xml:space="preserve"> om de wachttijden </w:t>
      </w:r>
      <w:r w:rsidR="00487675">
        <w:t xml:space="preserve">waar mogelijk </w:t>
      </w:r>
      <w:r w:rsidRPr="00175A67">
        <w:t>terug te dringen</w:t>
      </w:r>
      <w:r w:rsidR="00957CF0">
        <w:t xml:space="preserve">, zie daarvoor ook </w:t>
      </w:r>
      <w:r w:rsidR="00487675">
        <w:t>mijn</w:t>
      </w:r>
      <w:r w:rsidR="00957CF0">
        <w:t xml:space="preserve"> antwoord op vraag 5 hieronder</w:t>
      </w:r>
      <w:r w:rsidRPr="00175A67">
        <w:t>. Ik vind het belangrijk om de effecten daarvan af te wachten.</w:t>
      </w:r>
    </w:p>
    <w:p w:rsidR="00293E4B" w:rsidP="000D6026" w:rsidRDefault="00293E4B" w14:paraId="5BFE76BD" w14:textId="77777777">
      <w:pPr>
        <w:suppressAutoHyphens/>
        <w:spacing w:after="160" w:line="259" w:lineRule="auto"/>
        <w:contextualSpacing/>
      </w:pPr>
    </w:p>
    <w:p w:rsidRPr="003D50C3" w:rsidR="005855A6" w:rsidP="000D6026" w:rsidRDefault="00000000" w14:paraId="4C1E29F8" w14:textId="77777777">
      <w:pPr>
        <w:suppressAutoHyphens/>
        <w:spacing w:after="160" w:line="259" w:lineRule="auto"/>
        <w:contextualSpacing/>
        <w:rPr>
          <w:b/>
          <w:bCs/>
        </w:rPr>
      </w:pPr>
      <w:r w:rsidRPr="003D50C3">
        <w:rPr>
          <w:b/>
          <w:bCs/>
        </w:rPr>
        <w:t>Vraag 5</w:t>
      </w:r>
    </w:p>
    <w:p w:rsidR="005855A6" w:rsidP="000D6026" w:rsidRDefault="00000000" w14:paraId="3C3CEBDB" w14:textId="77777777">
      <w:pPr>
        <w:suppressAutoHyphens/>
        <w:spacing w:after="160" w:line="259" w:lineRule="auto"/>
        <w:contextualSpacing/>
      </w:pPr>
      <w:r>
        <w:t>Hoe beoordeelt u de rol van de zogenaamde sluis, waar nieuwe, dure geneesmiddelen eerst worden beoordeeld op bewezen effectiviteit en kosten, als het gaat om de toegang van patiënten tot deze geneesmiddelen? Welke aanpassingen voert u door in dit proces om de wachttijd te verkorten?</w:t>
      </w:r>
    </w:p>
    <w:p w:rsidR="005855A6" w:rsidP="000D6026" w:rsidRDefault="005855A6" w14:paraId="08310575" w14:textId="77777777">
      <w:pPr>
        <w:suppressAutoHyphens/>
        <w:spacing w:after="160" w:line="259" w:lineRule="auto"/>
        <w:contextualSpacing/>
      </w:pPr>
    </w:p>
    <w:p w:rsidRPr="003D50C3" w:rsidR="00293E4B" w:rsidP="000D6026" w:rsidRDefault="00000000" w14:paraId="5BAB0543" w14:textId="77777777">
      <w:pPr>
        <w:suppressAutoHyphens/>
        <w:spacing w:after="160" w:line="259" w:lineRule="auto"/>
        <w:contextualSpacing/>
        <w:rPr>
          <w:b/>
          <w:bCs/>
        </w:rPr>
      </w:pPr>
      <w:r w:rsidRPr="003D50C3">
        <w:rPr>
          <w:b/>
          <w:bCs/>
        </w:rPr>
        <w:t>Antwoord</w:t>
      </w:r>
      <w:r w:rsidRPr="003D50C3" w:rsidR="00432E53">
        <w:rPr>
          <w:b/>
          <w:bCs/>
        </w:rPr>
        <w:t xml:space="preserve"> </w:t>
      </w:r>
      <w:r w:rsidRPr="003D50C3" w:rsidR="00175A67">
        <w:rPr>
          <w:b/>
          <w:bCs/>
        </w:rPr>
        <w:t>5</w:t>
      </w:r>
    </w:p>
    <w:p w:rsidR="009A412F" w:rsidP="000D6026" w:rsidRDefault="00000000" w14:paraId="4AF5B82D" w14:textId="77777777">
      <w:pPr>
        <w:suppressAutoHyphens/>
        <w:spacing w:after="160" w:line="259" w:lineRule="auto"/>
        <w:contextualSpacing/>
      </w:pPr>
      <w:r>
        <w:t>Hoewel ik zou willen dat de sluis niet nodig is,</w:t>
      </w:r>
      <w:r w:rsidR="006154D0">
        <w:t xml:space="preserve"> </w:t>
      </w:r>
      <w:r>
        <w:t xml:space="preserve">ken ik geen ander instrument dat beter borgt </w:t>
      </w:r>
      <w:bookmarkStart w:name="_Hlk163733673" w:id="9"/>
      <w:r w:rsidR="00A959E1">
        <w:t>da</w:t>
      </w:r>
      <w:r>
        <w:t xml:space="preserve">t </w:t>
      </w:r>
      <w:r w:rsidR="00957CF0">
        <w:t xml:space="preserve">(zeer) </w:t>
      </w:r>
      <w:r w:rsidR="00A959E1">
        <w:t xml:space="preserve">dure geneesmiddelen </w:t>
      </w:r>
      <w:r w:rsidR="00957CF0">
        <w:t>pas worden ingezet als de effectiviteit daarvan vaststaat en</w:t>
      </w:r>
      <w:r w:rsidR="00A959E1">
        <w:t xml:space="preserve"> een maatschappelijk aanvaardbare prijs </w:t>
      </w:r>
      <w:r w:rsidR="00957CF0">
        <w:t>is overeengekomen</w:t>
      </w:r>
      <w:r w:rsidR="00A959E1">
        <w:t>.</w:t>
      </w:r>
      <w:r>
        <w:t xml:space="preserve"> </w:t>
      </w:r>
      <w:bookmarkEnd w:id="9"/>
    </w:p>
    <w:p w:rsidR="00C4156F" w:rsidP="000D6026" w:rsidRDefault="00C4156F" w14:paraId="4FA77236" w14:textId="77777777">
      <w:pPr>
        <w:suppressAutoHyphens/>
        <w:spacing w:after="160" w:line="259" w:lineRule="auto"/>
        <w:contextualSpacing/>
      </w:pPr>
    </w:p>
    <w:p w:rsidR="00E22E95" w:rsidP="000D6026" w:rsidRDefault="00000000" w14:paraId="65D54F9E" w14:textId="77777777">
      <w:pPr>
        <w:suppressAutoHyphens/>
        <w:spacing w:after="160" w:line="259" w:lineRule="auto"/>
      </w:pPr>
      <w:bookmarkStart w:name="_Hlk163734263" w:id="10"/>
      <w:r>
        <w:t>Ik besef dat</w:t>
      </w:r>
      <w:r w:rsidR="00E30660">
        <w:t xml:space="preserve"> de sluis tot gevolg heeft dat</w:t>
      </w:r>
      <w:r>
        <w:t xml:space="preserve"> patiënten soms lang moeten wachten op een voor hen effectief middel, daarom is mijn inzet erop gericht om de doorlooptijd </w:t>
      </w:r>
      <w:bookmarkStart w:name="_Hlk162945746" w:id="11"/>
      <w:r>
        <w:t xml:space="preserve">tussen markttoelating en het vergoedingsbesluit te verkorten, </w:t>
      </w:r>
      <w:r w:rsidR="00E03972">
        <w:t xml:space="preserve">door toe te werken naar </w:t>
      </w:r>
      <w:r>
        <w:t>een stelsel waarin risico-identificatie en -beheersing voor dure geneesmiddelen structureel vroegtijdig plaatsvinden.</w:t>
      </w:r>
      <w:bookmarkEnd w:id="10"/>
      <w:r w:rsidR="008D3037">
        <w:t xml:space="preserve"> Ik wil in de toekomst</w:t>
      </w:r>
      <w:r w:rsidR="00565470">
        <w:t xml:space="preserve"> meer</w:t>
      </w:r>
      <w:r w:rsidR="008D3037">
        <w:t xml:space="preserve"> </w:t>
      </w:r>
      <w:r w:rsidR="00565470">
        <w:t>gewicht toekennen aan</w:t>
      </w:r>
      <w:r w:rsidR="008D3037">
        <w:t xml:space="preserve"> risico’s ten aanzien van de effectiviteit en gepaste inzet van het geneesmiddel</w:t>
      </w:r>
      <w:r w:rsidR="00565470">
        <w:t>, naast financiële risico’s</w:t>
      </w:r>
      <w:r w:rsidR="008D3037">
        <w:t xml:space="preserve">. </w:t>
      </w:r>
      <w:r>
        <w:t xml:space="preserve">Voor een uitgebreide toelichting over de inhoud en voortgang van dit traject verwijs ik u naar de </w:t>
      </w:r>
      <w:r w:rsidR="00BF7E0A">
        <w:t>Voortgang</w:t>
      </w:r>
      <w:r w:rsidR="008D3037">
        <w:t>s</w:t>
      </w:r>
      <w:r w:rsidR="0082734C">
        <w:t>brief</w:t>
      </w:r>
      <w:r w:rsidR="00BF7E0A">
        <w:t xml:space="preserve"> pakketbeheer</w:t>
      </w:r>
      <w:r w:rsidR="0082734C">
        <w:t xml:space="preserve"> van</w:t>
      </w:r>
      <w:r w:rsidR="00BF7E0A">
        <w:t xml:space="preserve"> dure geneesmiddelen</w:t>
      </w:r>
      <w:r w:rsidR="0082734C">
        <w:t xml:space="preserve"> die ik recent naar uw Kamer heb gestuurd</w:t>
      </w:r>
      <w:r>
        <w:t>.</w:t>
      </w:r>
      <w:bookmarkEnd w:id="11"/>
      <w:r>
        <w:rPr>
          <w:rStyle w:val="Voetnootmarkering"/>
        </w:rPr>
        <w:footnoteReference w:id="11"/>
      </w:r>
    </w:p>
    <w:p w:rsidRPr="003D50C3" w:rsidR="005855A6" w:rsidP="000D6026" w:rsidRDefault="00000000" w14:paraId="435C3D9C" w14:textId="77777777">
      <w:pPr>
        <w:suppressAutoHyphens/>
        <w:spacing w:after="160" w:line="259" w:lineRule="auto"/>
        <w:contextualSpacing/>
        <w:rPr>
          <w:b/>
          <w:bCs/>
        </w:rPr>
      </w:pPr>
      <w:r w:rsidRPr="003D50C3">
        <w:rPr>
          <w:b/>
          <w:bCs/>
        </w:rPr>
        <w:t>Vraag 6</w:t>
      </w:r>
    </w:p>
    <w:p w:rsidR="005855A6" w:rsidP="000D6026" w:rsidRDefault="00000000" w14:paraId="44B46203" w14:textId="77777777">
      <w:pPr>
        <w:suppressAutoHyphens/>
        <w:spacing w:after="160" w:line="259" w:lineRule="auto"/>
        <w:contextualSpacing/>
      </w:pPr>
      <w:r>
        <w:t>Kunt u uitleggen waarom het soms maanden tot jaren duurt voordat een middel beschikbaar komt, zelfs nadat het uit de sluis is gekomen en er een prijsafspraak is gemaakt met het ministerie en de prijs dus wel maatschappelijk aanvaardbaar moet zijn? Wat zijn de belangrijkste oorzaken van deze vertraging?</w:t>
      </w:r>
    </w:p>
    <w:p w:rsidR="005855A6" w:rsidP="000D6026" w:rsidRDefault="005855A6" w14:paraId="5720ECD9" w14:textId="77777777">
      <w:pPr>
        <w:suppressAutoHyphens/>
        <w:spacing w:after="160" w:line="259" w:lineRule="auto"/>
        <w:contextualSpacing/>
      </w:pPr>
    </w:p>
    <w:p w:rsidRPr="003D50C3" w:rsidR="00293E4B" w:rsidP="000D6026" w:rsidRDefault="00000000" w14:paraId="252B1FEB" w14:textId="77777777">
      <w:pPr>
        <w:suppressAutoHyphens/>
        <w:spacing w:after="160" w:line="259" w:lineRule="auto"/>
        <w:contextualSpacing/>
        <w:rPr>
          <w:b/>
          <w:bCs/>
        </w:rPr>
      </w:pPr>
      <w:r w:rsidRPr="003D50C3">
        <w:rPr>
          <w:b/>
          <w:bCs/>
        </w:rPr>
        <w:t>Antwoord</w:t>
      </w:r>
      <w:r w:rsidRPr="003D50C3" w:rsidR="00175A67">
        <w:rPr>
          <w:b/>
          <w:bCs/>
        </w:rPr>
        <w:t xml:space="preserve"> 6</w:t>
      </w:r>
    </w:p>
    <w:p w:rsidR="000D625D" w:rsidP="000D6026" w:rsidRDefault="00000000" w14:paraId="0274411C" w14:textId="77777777">
      <w:pPr>
        <w:suppressAutoHyphens/>
        <w:spacing w:after="160" w:line="259" w:lineRule="auto"/>
        <w:contextualSpacing/>
      </w:pPr>
      <w:r>
        <w:t>Ik wil er ten eerste op wijzen dat het aan de beroepsgroep is om te bepalen wat de inzet is van een geneesmiddel, bijvoorbeeld welke plek het geneesmiddel krijgt in een richtlijn</w:t>
      </w:r>
      <w:r w:rsidR="00487675">
        <w:t xml:space="preserve">. Dit </w:t>
      </w:r>
      <w:r>
        <w:t>kan betekenen dat een geneesmiddel, waarop aanspraak bestaat, niet voor elke patiënt beschikbaar is. Daarnaast kan het voorkomen, zoals toegelicht in het antwoord op vraag 2 en 3 hierboven, dat zorgverzekeraars een beoordeling moeten doen van de stand</w:t>
      </w:r>
      <w:r w:rsidR="00B77796">
        <w:t xml:space="preserve"> van de</w:t>
      </w:r>
      <w:r>
        <w:t xml:space="preserve"> wetenschap en praktijk</w:t>
      </w:r>
      <w:r w:rsidR="00B77796">
        <w:t xml:space="preserve"> om de effectiviteit en daarmee pakketwaardigheid van een geneesmiddel voor een bepaalde indicatie te bepalen</w:t>
      </w:r>
      <w:r>
        <w:t>.</w:t>
      </w:r>
      <w:r w:rsidR="002B6FF2">
        <w:t xml:space="preserve"> Ook dit kan ertoe bijdragen dat geneesmiddelen later beschikbaar komen</w:t>
      </w:r>
      <w:r w:rsidR="00B77796">
        <w:t xml:space="preserve"> voor patiënten</w:t>
      </w:r>
      <w:r w:rsidR="002B6FF2">
        <w:t>.</w:t>
      </w:r>
    </w:p>
    <w:p w:rsidR="005E2301" w:rsidP="000D6026" w:rsidRDefault="005E2301" w14:paraId="40F26E44" w14:textId="77777777">
      <w:pPr>
        <w:suppressAutoHyphens/>
        <w:spacing w:after="160" w:line="259" w:lineRule="auto"/>
        <w:contextualSpacing/>
      </w:pPr>
    </w:p>
    <w:p w:rsidRPr="003D50C3" w:rsidR="005855A6" w:rsidP="000D6026" w:rsidRDefault="00000000" w14:paraId="2F7D0F28" w14:textId="77777777">
      <w:pPr>
        <w:suppressAutoHyphens/>
        <w:spacing w:after="160" w:line="259" w:lineRule="auto"/>
        <w:contextualSpacing/>
        <w:rPr>
          <w:b/>
          <w:bCs/>
        </w:rPr>
      </w:pPr>
      <w:r w:rsidRPr="003D50C3">
        <w:rPr>
          <w:b/>
          <w:bCs/>
        </w:rPr>
        <w:t>Vraag 7</w:t>
      </w:r>
    </w:p>
    <w:p w:rsidR="005855A6" w:rsidP="000D6026" w:rsidRDefault="00000000" w14:paraId="6BBB43F3" w14:textId="77777777">
      <w:pPr>
        <w:suppressAutoHyphens/>
        <w:spacing w:after="160" w:line="259" w:lineRule="auto"/>
        <w:contextualSpacing/>
      </w:pPr>
      <w:r>
        <w:t>Hoe staat het met de implementatie van het nieuwe toelatingsstelsel voor de vergoeding van dure geneesmiddelen uit het basispakket? Hoe verhoudt dit nieuwe stelsel zich tot de sluis en het post-sluistraject? En hoe gaat dit nieuwe stelsel de instroom van nieuwe geneesmiddelen daadwerkelijk versnellen en zo een bijdrage leveren aan toekomstbestendige zorg?</w:t>
      </w:r>
    </w:p>
    <w:p w:rsidR="005855A6" w:rsidP="000D6026" w:rsidRDefault="005855A6" w14:paraId="0A2AB9FE" w14:textId="77777777">
      <w:pPr>
        <w:suppressAutoHyphens/>
        <w:spacing w:after="160" w:line="259" w:lineRule="auto"/>
        <w:contextualSpacing/>
      </w:pPr>
    </w:p>
    <w:p w:rsidRPr="003D50C3" w:rsidR="00293E4B" w:rsidP="000D6026" w:rsidRDefault="00000000" w14:paraId="242DEA5D" w14:textId="77777777">
      <w:pPr>
        <w:suppressAutoHyphens/>
        <w:spacing w:after="160" w:line="259" w:lineRule="auto"/>
        <w:contextualSpacing/>
        <w:rPr>
          <w:b/>
          <w:bCs/>
        </w:rPr>
      </w:pPr>
      <w:r w:rsidRPr="003D50C3">
        <w:rPr>
          <w:b/>
          <w:bCs/>
        </w:rPr>
        <w:t>Antwoord</w:t>
      </w:r>
      <w:r w:rsidRPr="003D50C3" w:rsidR="00175A67">
        <w:rPr>
          <w:b/>
          <w:bCs/>
        </w:rPr>
        <w:t xml:space="preserve"> 7</w:t>
      </w:r>
    </w:p>
    <w:p w:rsidR="00D450DB" w:rsidP="000D6026" w:rsidRDefault="00000000" w14:paraId="1084C841" w14:textId="77777777">
      <w:pPr>
        <w:suppressAutoHyphens/>
        <w:spacing w:after="160" w:line="259" w:lineRule="auto"/>
        <w:contextualSpacing/>
      </w:pPr>
      <w:r>
        <w:t xml:space="preserve">Ik heb uw Kamer over de voortgang van dit traject geïnformeerd </w:t>
      </w:r>
      <w:r w:rsidR="00BF7E0A">
        <w:t>middels mijn brief van 11 april</w:t>
      </w:r>
      <w:r>
        <w:rPr>
          <w:rStyle w:val="Voetnootmarkering"/>
        </w:rPr>
        <w:footnoteReference w:id="12"/>
      </w:r>
      <w:r>
        <w:t xml:space="preserve">. Ik verwijs voor het antwoord op de vraag naar deze brief. </w:t>
      </w:r>
    </w:p>
    <w:p w:rsidR="00293E4B" w:rsidP="000D6026" w:rsidRDefault="00293E4B" w14:paraId="5103309E" w14:textId="77777777">
      <w:pPr>
        <w:suppressAutoHyphens/>
        <w:spacing w:after="160" w:line="259" w:lineRule="auto"/>
        <w:contextualSpacing/>
      </w:pPr>
    </w:p>
    <w:p w:rsidRPr="003D50C3" w:rsidR="005855A6" w:rsidP="000D6026" w:rsidRDefault="00000000" w14:paraId="026CF06C" w14:textId="77777777">
      <w:pPr>
        <w:suppressAutoHyphens/>
        <w:spacing w:after="160" w:line="259" w:lineRule="auto"/>
        <w:contextualSpacing/>
        <w:rPr>
          <w:b/>
          <w:bCs/>
        </w:rPr>
      </w:pPr>
      <w:r w:rsidRPr="003D50C3">
        <w:rPr>
          <w:b/>
          <w:bCs/>
        </w:rPr>
        <w:t>Vraag 8</w:t>
      </w:r>
    </w:p>
    <w:p w:rsidR="005855A6" w:rsidP="000D6026" w:rsidRDefault="00000000" w14:paraId="28501C9A" w14:textId="77777777">
      <w:pPr>
        <w:suppressAutoHyphens/>
        <w:spacing w:after="160" w:line="259" w:lineRule="auto"/>
        <w:contextualSpacing/>
      </w:pPr>
      <w:r>
        <w:t>Wat gaat u doen om die vertragingen inzichtelijk te maken voor zowel mensen met kanker als hun behandelaars en hieraan eisen te stellen qua duur waarbinnen een besluit genomen moet zijn over vergoeding? Bent u bereid hiervoor een maximumduur van drie maanden aan te houden, waar binnen een besluit moet zijn genomen over vergoeding?</w:t>
      </w:r>
    </w:p>
    <w:p w:rsidR="005855A6" w:rsidP="000D6026" w:rsidRDefault="005855A6" w14:paraId="246610B9" w14:textId="77777777">
      <w:pPr>
        <w:suppressAutoHyphens/>
        <w:spacing w:after="160" w:line="259" w:lineRule="auto"/>
        <w:contextualSpacing/>
      </w:pPr>
    </w:p>
    <w:p w:rsidRPr="003D50C3" w:rsidR="002B6FF2" w:rsidP="000D6026" w:rsidRDefault="00000000" w14:paraId="7A9C4C57" w14:textId="77777777">
      <w:pPr>
        <w:suppressAutoHyphens/>
        <w:spacing w:after="160" w:line="259" w:lineRule="auto"/>
        <w:contextualSpacing/>
        <w:rPr>
          <w:b/>
          <w:bCs/>
        </w:rPr>
      </w:pPr>
      <w:r w:rsidRPr="003D50C3">
        <w:rPr>
          <w:b/>
          <w:bCs/>
        </w:rPr>
        <w:t xml:space="preserve">Antwoord 8 </w:t>
      </w:r>
    </w:p>
    <w:p w:rsidR="002B6FF2" w:rsidP="000D6026" w:rsidRDefault="00000000" w14:paraId="59299C37" w14:textId="77777777">
      <w:pPr>
        <w:suppressAutoHyphens/>
        <w:spacing w:after="160" w:line="259" w:lineRule="auto"/>
        <w:contextualSpacing/>
      </w:pPr>
      <w:r>
        <w:t xml:space="preserve">De gemiddelde doorlooptijd wordt door meerdere factoren bepaald: de tijd die een fabrikant nodig heeft om een volledig dossier in te dienen, de tijd die het Zorginstituut nodig heeft om een dossier te beoordelen, de tijd die nodig is </w:t>
      </w:r>
      <w:r w:rsidR="003A3BE0">
        <w:t xml:space="preserve">voor het ministerie van VWS </w:t>
      </w:r>
      <w:r>
        <w:t xml:space="preserve">om </w:t>
      </w:r>
      <w:r w:rsidR="003A3BE0">
        <w:t xml:space="preserve">samen met de </w:t>
      </w:r>
      <w:r w:rsidR="00FE7092">
        <w:t xml:space="preserve">fabrikant </w:t>
      </w:r>
      <w:r w:rsidR="003A3BE0">
        <w:t>tot een overeenkomst te komen</w:t>
      </w:r>
      <w:r>
        <w:t xml:space="preserve">, eventueel tijd die zorgverzekeraars nodig hebben om de stand </w:t>
      </w:r>
      <w:r w:rsidR="00B77796">
        <w:t xml:space="preserve">van de </w:t>
      </w:r>
      <w:r>
        <w:t xml:space="preserve">wetenschap en praktijk te beoordelen, tijd die de zorgverzekeraars nodig kunnen hebben om met de </w:t>
      </w:r>
      <w:r w:rsidR="00FE7092">
        <w:t xml:space="preserve">fabrikant </w:t>
      </w:r>
      <w:r>
        <w:t>tot prijsafspraken te komen en tijd die nodig is voor de beroepsgroep om een geneesmiddel op te nemen in de behandelrichtlijnen. Om een snellere doorlooptijd te bevorderen moet dan ook rekening worden gehouden met voor wie die termijn dan geldt. Het is waarschijnlijk dat een kortere</w:t>
      </w:r>
      <w:r w:rsidR="00565470">
        <w:t>, verplichte</w:t>
      </w:r>
      <w:r>
        <w:t xml:space="preserve"> termijn zal betekenen dat er meer druk komt te staan op het proces en dat </w:t>
      </w:r>
      <w:r w:rsidR="00565470">
        <w:t>er</w:t>
      </w:r>
      <w:r>
        <w:t xml:space="preserve"> mogelijk eerder nee gezegd wordt, omdat partijen binnen die termijn er samen mogelijk niet uitkomen. Hiermee wordt het besluit sneller genomen, maar worden er heronderhandelingen gestart die het gehele proces niet versnellen, en juist vertragen</w:t>
      </w:r>
      <w:r w:rsidR="003A3BE0">
        <w:t xml:space="preserve">. Een maximale doorlooptijd leidt dus niet automatisch tot het eerder of meer beschikbaar komen van dure geneesmiddelen voor de patiënt. </w:t>
      </w:r>
      <w:r>
        <w:t>Bovendien kan een dergelijke termijn een nauwkeurige beoordeling en het verzamelen van data belemmeren. Op basis van informatie uit andere landen is een wettelijke termijn geen garantie voor kortere doorlooptijden.</w:t>
      </w:r>
      <w:r w:rsidR="003A3BE0">
        <w:t xml:space="preserve"> </w:t>
      </w:r>
      <w:r>
        <w:t xml:space="preserve">Zoals </w:t>
      </w:r>
      <w:r w:rsidR="003A3BE0">
        <w:t>ik in reactie op vraag 5</w:t>
      </w:r>
      <w:r>
        <w:t xml:space="preserve"> </w:t>
      </w:r>
      <w:r w:rsidR="00B77796">
        <w:t xml:space="preserve">aangaf </w:t>
      </w:r>
      <w:r>
        <w:t xml:space="preserve">ben ik van mening dat het beter is om in te zetten op efficiëntie binnen het gehele proces – dus eerder in gezamenlijkheid </w:t>
      </w:r>
      <w:r w:rsidR="00B77796">
        <w:t xml:space="preserve">kijken en anticiperen op </w:t>
      </w:r>
      <w:r>
        <w:t>de geneesmiddelen die komen</w:t>
      </w:r>
      <w:r w:rsidR="00B379FD">
        <w:t>,</w:t>
      </w:r>
      <w:r>
        <w:t xml:space="preserve"> zodat we ook eerder een besluit kunnen nemen. </w:t>
      </w:r>
    </w:p>
    <w:p w:rsidR="002B6FF2" w:rsidP="000D6026" w:rsidRDefault="002B6FF2" w14:paraId="2C5AD880" w14:textId="77777777">
      <w:pPr>
        <w:suppressAutoHyphens/>
        <w:spacing w:after="160" w:line="259" w:lineRule="auto"/>
        <w:contextualSpacing/>
      </w:pPr>
    </w:p>
    <w:p w:rsidRPr="003D50C3" w:rsidR="00B35E0A" w:rsidP="000D6026" w:rsidRDefault="00000000" w14:paraId="34307D45" w14:textId="77777777">
      <w:pPr>
        <w:suppressAutoHyphens/>
        <w:spacing w:after="160" w:line="259" w:lineRule="auto"/>
        <w:contextualSpacing/>
        <w:rPr>
          <w:b/>
          <w:bCs/>
        </w:rPr>
      </w:pPr>
      <w:r w:rsidRPr="003D50C3">
        <w:rPr>
          <w:b/>
          <w:bCs/>
        </w:rPr>
        <w:t>Vraag 9</w:t>
      </w:r>
    </w:p>
    <w:p w:rsidR="00B35E0A" w:rsidP="000D6026" w:rsidRDefault="00000000" w14:paraId="43428094" w14:textId="268427D7">
      <w:pPr>
        <w:suppressAutoHyphens/>
        <w:spacing w:after="160" w:line="259" w:lineRule="auto"/>
        <w:contextualSpacing/>
      </w:pPr>
      <w:r>
        <w:t>Wanneer gaat u het dashboard ‘doorlooptijden geneesmiddelen’ aanvullen met informatie over de stappen die worden gezet na de sluis, richting opname i</w:t>
      </w:r>
      <w:r w:rsidR="00CC5B17">
        <w:t>n</w:t>
      </w:r>
      <w:r>
        <w:t xml:space="preserve"> het basispakket?</w:t>
      </w:r>
    </w:p>
    <w:p w:rsidR="00B35E0A" w:rsidP="000D6026" w:rsidRDefault="00B35E0A" w14:paraId="694B96AA" w14:textId="77777777">
      <w:pPr>
        <w:suppressAutoHyphens/>
        <w:spacing w:after="160" w:line="259" w:lineRule="auto"/>
        <w:contextualSpacing/>
      </w:pPr>
    </w:p>
    <w:p w:rsidRPr="003D50C3" w:rsidR="00B35E0A" w:rsidP="000D6026" w:rsidRDefault="00000000" w14:paraId="13DFDCFD" w14:textId="77777777">
      <w:pPr>
        <w:suppressAutoHyphens/>
        <w:spacing w:after="160" w:line="259" w:lineRule="auto"/>
        <w:contextualSpacing/>
        <w:rPr>
          <w:b/>
          <w:bCs/>
        </w:rPr>
      </w:pPr>
      <w:r w:rsidRPr="003D50C3">
        <w:rPr>
          <w:b/>
          <w:bCs/>
        </w:rPr>
        <w:t>Antwoord 9</w:t>
      </w:r>
    </w:p>
    <w:p w:rsidR="009606E8" w:rsidP="000D6026" w:rsidRDefault="00000000" w14:paraId="0E2D989A" w14:textId="77777777">
      <w:pPr>
        <w:suppressAutoHyphens/>
        <w:spacing w:after="160" w:line="259" w:lineRule="auto"/>
        <w:contextualSpacing/>
      </w:pPr>
      <w:r>
        <w:t>Ik heb uw Kamer eerder bericht over het dashboard doorlooptijden geneesmiddelen.</w:t>
      </w:r>
      <w:r>
        <w:rPr>
          <w:rStyle w:val="Voetnootmarkering"/>
        </w:rPr>
        <w:footnoteReference w:id="13"/>
      </w:r>
      <w:r>
        <w:t xml:space="preserve"> Het dashboard ziet op </w:t>
      </w:r>
      <w:r w:rsidR="00E06984">
        <w:t>alle geneesmiddelen waarover</w:t>
      </w:r>
      <w:r w:rsidR="00AC6C35">
        <w:t xml:space="preserve"> het ministerie van</w:t>
      </w:r>
      <w:r w:rsidR="00E06984">
        <w:t xml:space="preserve"> VWS over de prijs onderhandel</w:t>
      </w:r>
      <w:r w:rsidR="00AC6C35">
        <w:t>t</w:t>
      </w:r>
      <w:r w:rsidR="00565470">
        <w:t xml:space="preserve"> en</w:t>
      </w:r>
      <w:r w:rsidR="00E06984">
        <w:t xml:space="preserve"> op </w:t>
      </w:r>
      <w:r>
        <w:t>de periode van registratie tot opname in het basispakket. Het proces hierna, bijvoorbeeld</w:t>
      </w:r>
      <w:r w:rsidR="003A3BE0">
        <w:t xml:space="preserve"> de beoordeling van de stand wetenschap en praktijk door de CieBAG en</w:t>
      </w:r>
      <w:r>
        <w:t xml:space="preserve"> de toekenning van </w:t>
      </w:r>
      <w:r w:rsidR="003A3BE0">
        <w:t>e</w:t>
      </w:r>
      <w:r>
        <w:t>e</w:t>
      </w:r>
      <w:r w:rsidR="003A3BE0">
        <w:t>n</w:t>
      </w:r>
      <w:r>
        <w:t xml:space="preserve"> add-on</w:t>
      </w:r>
      <w:r w:rsidR="003A3BE0">
        <w:t xml:space="preserve"> status door de NZa</w:t>
      </w:r>
      <w:r>
        <w:t>,</w:t>
      </w:r>
      <w:r w:rsidR="00B77796">
        <w:t xml:space="preserve"> of de opname in behandelrichtlijnen</w:t>
      </w:r>
      <w:r w:rsidR="00565470">
        <w:t>,</w:t>
      </w:r>
      <w:r>
        <w:t xml:space="preserve"> maakt op dit moment geen integraal onderdeel uit van het dashboard. Ik </w:t>
      </w:r>
      <w:r w:rsidR="00AA573F">
        <w:t xml:space="preserve">realiseer mij dat er behoefte is </w:t>
      </w:r>
      <w:r w:rsidR="00AA573F">
        <w:lastRenderedPageBreak/>
        <w:t xml:space="preserve">aan meer informatie in het dashboard en bekijk welke </w:t>
      </w:r>
      <w:r w:rsidR="00B77796">
        <w:t xml:space="preserve">doorontwikkeling </w:t>
      </w:r>
      <w:r w:rsidR="00AA573F">
        <w:t>mogelijk is</w:t>
      </w:r>
      <w:r w:rsidR="001F43C3">
        <w:t>.</w:t>
      </w:r>
      <w:r w:rsidR="0019011A">
        <w:t xml:space="preserve"> Hierbij zal ik rekening houden met bovengenoemde</w:t>
      </w:r>
      <w:r w:rsidR="00B75AA8">
        <w:t>, maar</w:t>
      </w:r>
      <w:r w:rsidR="0019011A">
        <w:t xml:space="preserve"> </w:t>
      </w:r>
      <w:r w:rsidR="001F43C3">
        <w:t>kijk ik</w:t>
      </w:r>
      <w:r w:rsidR="0019011A">
        <w:t xml:space="preserve"> </w:t>
      </w:r>
      <w:r w:rsidR="00B75AA8">
        <w:t xml:space="preserve">ook </w:t>
      </w:r>
      <w:r w:rsidR="0019011A">
        <w:t xml:space="preserve">of deze en overige </w:t>
      </w:r>
      <w:r w:rsidR="00B75AA8">
        <w:t>wensen</w:t>
      </w:r>
      <w:r w:rsidR="0019011A">
        <w:t xml:space="preserve"> uitvoerbaar </w:t>
      </w:r>
      <w:r w:rsidR="00B75AA8">
        <w:t>zijn</w:t>
      </w:r>
      <w:r w:rsidR="0019011A">
        <w:t xml:space="preserve">. </w:t>
      </w:r>
      <w:r w:rsidR="00B75AA8">
        <w:t>I</w:t>
      </w:r>
      <w:r w:rsidR="001F43C3">
        <w:t>k</w:t>
      </w:r>
      <w:r w:rsidR="00B77796">
        <w:t xml:space="preserve"> </w:t>
      </w:r>
      <w:r w:rsidR="00B75AA8">
        <w:t xml:space="preserve">heb </w:t>
      </w:r>
      <w:r w:rsidR="00B77796">
        <w:t xml:space="preserve">al eerder de wens geuit dat ook de middelen die zorgverzekeraars beoordelen in </w:t>
      </w:r>
      <w:r w:rsidR="00B75AA8">
        <w:t xml:space="preserve">het dashboard </w:t>
      </w:r>
      <w:r w:rsidR="00B77796">
        <w:t xml:space="preserve">worden opgenomen. Ik ben daarover met </w:t>
      </w:r>
      <w:r w:rsidR="00565470">
        <w:t>ZN</w:t>
      </w:r>
      <w:r w:rsidR="00B77796">
        <w:t xml:space="preserve"> in gesprek.</w:t>
      </w:r>
      <w:r w:rsidR="00AA573F">
        <w:t xml:space="preserve"> Het is nu nog niet duidelijk op welke termijn welke aanpassingen haalbaar zijn, ik zal uw Kamer hier na de zomer over informeren. </w:t>
      </w:r>
    </w:p>
    <w:p w:rsidR="00293E4B" w:rsidP="000D6026" w:rsidRDefault="00293E4B" w14:paraId="0643F263" w14:textId="77777777">
      <w:pPr>
        <w:suppressAutoHyphens/>
        <w:spacing w:after="160" w:line="259" w:lineRule="auto"/>
        <w:contextualSpacing/>
      </w:pPr>
    </w:p>
    <w:p w:rsidRPr="003D50C3" w:rsidR="005855A6" w:rsidP="000D6026" w:rsidRDefault="00000000" w14:paraId="77B67A68" w14:textId="77777777">
      <w:pPr>
        <w:suppressAutoHyphens/>
        <w:spacing w:after="160" w:line="259" w:lineRule="auto"/>
        <w:contextualSpacing/>
        <w:rPr>
          <w:b/>
          <w:bCs/>
        </w:rPr>
      </w:pPr>
      <w:r w:rsidRPr="003D50C3">
        <w:rPr>
          <w:b/>
          <w:bCs/>
        </w:rPr>
        <w:t>Vraag 10</w:t>
      </w:r>
    </w:p>
    <w:p w:rsidR="00432E53" w:rsidP="000D6026" w:rsidRDefault="00000000" w14:paraId="2E82DBB2" w14:textId="77777777">
      <w:pPr>
        <w:suppressAutoHyphens/>
        <w:spacing w:after="160" w:line="259" w:lineRule="auto"/>
        <w:contextualSpacing/>
      </w:pPr>
      <w:r>
        <w:t>Hoe wordt er momenteel omgegaan met nieuwe indicaties voor geneesmiddelen die nog niet worden vergoed door zorgverzekeraars? Welke rol speelt het Zorginstituut hierbij en hoe kunnen de wachttijden worden verkort? Als er over het middel al een maatschappelijk aanvaardbare prijs is afgesproken, welk argument is er dan nog om mensen met betreffende indicaties hier nog langer op te laten wachten?</w:t>
      </w:r>
    </w:p>
    <w:p w:rsidR="00293E4B" w:rsidP="000D6026" w:rsidRDefault="00293E4B" w14:paraId="6D331580" w14:textId="77777777">
      <w:pPr>
        <w:suppressAutoHyphens/>
        <w:spacing w:after="160" w:line="259" w:lineRule="auto"/>
        <w:contextualSpacing/>
      </w:pPr>
    </w:p>
    <w:p w:rsidRPr="003D50C3" w:rsidR="005855A6" w:rsidP="000D6026" w:rsidRDefault="00000000" w14:paraId="5BCCC789" w14:textId="77777777">
      <w:pPr>
        <w:suppressAutoHyphens/>
        <w:spacing w:after="160" w:line="259" w:lineRule="auto"/>
        <w:contextualSpacing/>
        <w:rPr>
          <w:b/>
          <w:bCs/>
        </w:rPr>
      </w:pPr>
      <w:r w:rsidRPr="003D50C3">
        <w:rPr>
          <w:b/>
          <w:bCs/>
        </w:rPr>
        <w:t xml:space="preserve">Vraag 11 </w:t>
      </w:r>
    </w:p>
    <w:p w:rsidR="005855A6" w:rsidP="000D6026" w:rsidRDefault="00000000" w14:paraId="5A0FAC4F" w14:textId="77777777">
      <w:pPr>
        <w:suppressAutoHyphens/>
        <w:spacing w:after="160" w:line="259" w:lineRule="auto"/>
        <w:contextualSpacing/>
      </w:pPr>
      <w:r>
        <w:t>Hoe kan het dat er al een prijsafspraak is gemaakt met het ministerie voor meerdere indicaties, maar het middel nog steeds niet beschikbaar is voor deze patiëntengroepen? Wat zijn de obstakels die een snelle beschikbaarheid in de weg staan?</w:t>
      </w:r>
    </w:p>
    <w:p w:rsidR="005855A6" w:rsidP="000D6026" w:rsidRDefault="005855A6" w14:paraId="26522EDD" w14:textId="77777777">
      <w:pPr>
        <w:suppressAutoHyphens/>
        <w:spacing w:after="160" w:line="259" w:lineRule="auto"/>
        <w:contextualSpacing/>
      </w:pPr>
    </w:p>
    <w:p w:rsidRPr="003D50C3" w:rsidR="00B35E0A" w:rsidP="000D6026" w:rsidRDefault="00000000" w14:paraId="39DC97CC" w14:textId="77777777">
      <w:pPr>
        <w:suppressAutoHyphens/>
        <w:spacing w:after="160" w:line="259" w:lineRule="auto"/>
        <w:contextualSpacing/>
        <w:rPr>
          <w:b/>
          <w:bCs/>
        </w:rPr>
      </w:pPr>
      <w:r w:rsidRPr="003D50C3">
        <w:rPr>
          <w:b/>
          <w:bCs/>
        </w:rPr>
        <w:t>Antwoord 10 en 11</w:t>
      </w:r>
    </w:p>
    <w:p w:rsidR="00B35E0A" w:rsidP="000D6026" w:rsidRDefault="00000000" w14:paraId="5EB839D6" w14:textId="77777777">
      <w:pPr>
        <w:suppressAutoHyphens/>
        <w:spacing w:after="160" w:line="259" w:lineRule="auto"/>
        <w:contextualSpacing/>
      </w:pPr>
      <w:r>
        <w:t>Voor het antwoord op deze vragen verwijs ik graag naar het antwoord op vragen 2</w:t>
      </w:r>
      <w:r w:rsidR="00565470">
        <w:t xml:space="preserve">, </w:t>
      </w:r>
      <w:r>
        <w:t xml:space="preserve">3 </w:t>
      </w:r>
      <w:r w:rsidR="00565470">
        <w:t xml:space="preserve">en 8 </w:t>
      </w:r>
      <w:r>
        <w:t>hierboven.</w:t>
      </w:r>
    </w:p>
    <w:p w:rsidR="00B35E0A" w:rsidP="000D6026" w:rsidRDefault="00B35E0A" w14:paraId="5C8FA094" w14:textId="77777777">
      <w:pPr>
        <w:suppressAutoHyphens/>
        <w:spacing w:after="160" w:line="259" w:lineRule="auto"/>
        <w:contextualSpacing/>
      </w:pPr>
    </w:p>
    <w:p w:rsidRPr="003D50C3" w:rsidR="002B6FF2" w:rsidP="000D6026" w:rsidRDefault="00000000" w14:paraId="0D1045CE" w14:textId="77777777">
      <w:pPr>
        <w:suppressAutoHyphens/>
        <w:spacing w:after="160" w:line="259" w:lineRule="auto"/>
        <w:contextualSpacing/>
        <w:rPr>
          <w:b/>
          <w:bCs/>
        </w:rPr>
      </w:pPr>
      <w:r w:rsidRPr="003D50C3">
        <w:rPr>
          <w:b/>
          <w:bCs/>
        </w:rPr>
        <w:t>Vraag 12</w:t>
      </w:r>
    </w:p>
    <w:p w:rsidR="002B6FF2" w:rsidP="000D6026" w:rsidRDefault="00000000" w14:paraId="4452A2DD" w14:textId="77777777">
      <w:pPr>
        <w:suppressAutoHyphens/>
        <w:spacing w:after="160" w:line="259" w:lineRule="auto"/>
        <w:contextualSpacing/>
      </w:pPr>
      <w:r>
        <w:t>Wat is uw reactie op het stopzetten van programma's waarbij kankerpatiënten een middel alvast krijgen in afwachting van toelating? Bent u van plan om deze programma's weer op te starten en zo ja, wat is daarvoor nodig?</w:t>
      </w:r>
    </w:p>
    <w:p w:rsidR="002B6FF2" w:rsidP="000D6026" w:rsidRDefault="002B6FF2" w14:paraId="313EC683" w14:textId="77777777">
      <w:pPr>
        <w:suppressAutoHyphens/>
        <w:spacing w:after="160" w:line="259" w:lineRule="auto"/>
        <w:contextualSpacing/>
      </w:pPr>
    </w:p>
    <w:p w:rsidRPr="003D50C3" w:rsidR="00293E4B" w:rsidP="000D6026" w:rsidRDefault="00000000" w14:paraId="50525B57" w14:textId="77777777">
      <w:pPr>
        <w:suppressAutoHyphens/>
        <w:spacing w:after="160" w:line="259" w:lineRule="auto"/>
        <w:contextualSpacing/>
        <w:rPr>
          <w:b/>
          <w:bCs/>
        </w:rPr>
      </w:pPr>
      <w:r w:rsidRPr="003D50C3">
        <w:rPr>
          <w:b/>
          <w:bCs/>
        </w:rPr>
        <w:t>Antwoord</w:t>
      </w:r>
      <w:r w:rsidRPr="003D50C3" w:rsidR="00432E53">
        <w:rPr>
          <w:b/>
          <w:bCs/>
        </w:rPr>
        <w:t xml:space="preserve"> 12</w:t>
      </w:r>
    </w:p>
    <w:p w:rsidR="00A55BD7" w:rsidP="000D6026" w:rsidRDefault="00000000" w14:paraId="02870AF3" w14:textId="77777777">
      <w:pPr>
        <w:suppressAutoHyphens/>
        <w:spacing w:after="160" w:line="259" w:lineRule="auto"/>
        <w:contextualSpacing/>
      </w:pPr>
      <w:r>
        <w:t xml:space="preserve">Ik heb kennisgenomen van het bericht dat leveranciers van dure, voornamelijk kankergeneesmiddelen niet langer hun geneesmiddelen gratis ter beschikking zouden willen stellen gedurende de sluisperiode. Ik zou dat zeer teleurstellend vinden en zie dit signaal als een middel om mij onder druk te zetten om eerder akkoord te gaan met een prijs die niet maatschappelijk verantwoord is. Dat terwijl het om niet beschikbaar stellen van middelen de volgende voordelen heeft voor leveranciers: </w:t>
      </w:r>
    </w:p>
    <w:p w:rsidR="00A55BD7" w:rsidP="000D6026" w:rsidRDefault="00000000" w14:paraId="11BBC6CD" w14:textId="5C004ACF">
      <w:pPr>
        <w:pStyle w:val="Lijstalinea"/>
        <w:numPr>
          <w:ilvl w:val="0"/>
          <w:numId w:val="10"/>
        </w:numPr>
        <w:suppressAutoHyphens/>
        <w:spacing w:after="160" w:line="259" w:lineRule="auto"/>
      </w:pPr>
      <w:r>
        <w:t xml:space="preserve">Zodra vergoeding plaatsvindt is er direct een </w:t>
      </w:r>
      <w:r w:rsidR="00FE7092">
        <w:t>grote groep patiënten</w:t>
      </w:r>
      <w:r>
        <w:t xml:space="preserve"> </w:t>
      </w:r>
      <w:r w:rsidR="00CC5B17">
        <w:t>die</w:t>
      </w:r>
      <w:r>
        <w:t xml:space="preserve"> in aanmerking komt voor het product;</w:t>
      </w:r>
    </w:p>
    <w:p w:rsidR="00293E4B" w:rsidP="000D6026" w:rsidRDefault="00000000" w14:paraId="6BC654A1" w14:textId="77777777">
      <w:pPr>
        <w:pStyle w:val="Lijstalinea"/>
        <w:numPr>
          <w:ilvl w:val="0"/>
          <w:numId w:val="10"/>
        </w:numPr>
        <w:suppressAutoHyphens/>
        <w:spacing w:after="160" w:line="259" w:lineRule="auto"/>
      </w:pPr>
      <w:r>
        <w:t>Snelle uptake van een geneesmiddel direct na markttoelating schermt de markt af voor nieuwe concurrenten.</w:t>
      </w:r>
    </w:p>
    <w:p w:rsidR="00A55BD7" w:rsidP="000D6026" w:rsidRDefault="00000000" w14:paraId="32A99123" w14:textId="77777777">
      <w:pPr>
        <w:suppressAutoHyphens/>
        <w:spacing w:after="160" w:line="259" w:lineRule="auto"/>
        <w:contextualSpacing/>
      </w:pPr>
      <w:r>
        <w:t>Tot slot wijs ik er</w:t>
      </w:r>
      <w:r w:rsidR="002C0374">
        <w:t xml:space="preserve"> </w:t>
      </w:r>
      <w:r>
        <w:t>op dat ik</w:t>
      </w:r>
      <w:r w:rsidR="00946107">
        <w:t xml:space="preserve">, onder voorwaarden, bereid ben </w:t>
      </w:r>
      <w:r w:rsidR="00FE7092">
        <w:t xml:space="preserve">om </w:t>
      </w:r>
      <w:r w:rsidR="00946107">
        <w:t>de kosten die gemaakt zijn voor de beschikbaarheidsstelling van een geneesmiddel tijdens de sluisperiode mee</w:t>
      </w:r>
      <w:r w:rsidR="001F43C3">
        <w:t xml:space="preserve"> te</w:t>
      </w:r>
      <w:r w:rsidR="00946107">
        <w:t xml:space="preserve"> la</w:t>
      </w:r>
      <w:r w:rsidR="001F43C3">
        <w:t>ten</w:t>
      </w:r>
      <w:r w:rsidR="00946107">
        <w:t xml:space="preserve"> wegen in de prijsonderhandelingen.</w:t>
      </w:r>
    </w:p>
    <w:p w:rsidR="00A55BD7" w:rsidP="000D6026" w:rsidRDefault="00A55BD7" w14:paraId="2E31ADE1" w14:textId="77777777">
      <w:pPr>
        <w:suppressAutoHyphens/>
        <w:spacing w:after="160" w:line="259" w:lineRule="auto"/>
        <w:contextualSpacing/>
      </w:pPr>
    </w:p>
    <w:p w:rsidRPr="003D50C3" w:rsidR="005855A6" w:rsidP="000D6026" w:rsidRDefault="00000000" w14:paraId="42E85320" w14:textId="77777777">
      <w:pPr>
        <w:suppressAutoHyphens/>
        <w:spacing w:after="160" w:line="259" w:lineRule="auto"/>
        <w:contextualSpacing/>
        <w:rPr>
          <w:b/>
          <w:bCs/>
        </w:rPr>
      </w:pPr>
      <w:r w:rsidRPr="003D50C3">
        <w:rPr>
          <w:b/>
          <w:bCs/>
        </w:rPr>
        <w:t>Vraag 13</w:t>
      </w:r>
    </w:p>
    <w:p w:rsidR="005855A6" w:rsidP="000D6026" w:rsidRDefault="00000000" w14:paraId="65C9C9EA" w14:textId="77777777">
      <w:pPr>
        <w:suppressAutoHyphens/>
        <w:spacing w:after="160" w:line="259" w:lineRule="auto"/>
        <w:contextualSpacing/>
      </w:pPr>
      <w:r>
        <w:t>Op welke manier kunnen we ervoor zorgen dat patiënten sneller toegang hebben tot nieuwe behandelmethoden, zonder dat dit ten koste gaat van de zorgkosten?</w:t>
      </w:r>
    </w:p>
    <w:p w:rsidR="005855A6" w:rsidP="000D6026" w:rsidRDefault="005855A6" w14:paraId="0954074E" w14:textId="77777777">
      <w:pPr>
        <w:suppressAutoHyphens/>
        <w:spacing w:after="160" w:line="259" w:lineRule="auto"/>
        <w:contextualSpacing/>
      </w:pPr>
    </w:p>
    <w:p w:rsidR="000D6026" w:rsidP="000D6026" w:rsidRDefault="000D6026" w14:paraId="238DAA71" w14:textId="77777777">
      <w:pPr>
        <w:suppressAutoHyphens/>
        <w:spacing w:after="160" w:line="259" w:lineRule="auto"/>
        <w:contextualSpacing/>
      </w:pPr>
    </w:p>
    <w:p w:rsidRPr="003D50C3" w:rsidR="00293E4B" w:rsidP="000D6026" w:rsidRDefault="00000000" w14:paraId="77A8E106" w14:textId="77777777">
      <w:pPr>
        <w:suppressAutoHyphens/>
        <w:spacing w:after="160" w:line="259" w:lineRule="auto"/>
        <w:contextualSpacing/>
        <w:rPr>
          <w:b/>
          <w:bCs/>
        </w:rPr>
      </w:pPr>
      <w:r w:rsidRPr="003D50C3">
        <w:rPr>
          <w:b/>
          <w:bCs/>
        </w:rPr>
        <w:lastRenderedPageBreak/>
        <w:t>Antwoord</w:t>
      </w:r>
      <w:r w:rsidRPr="003D50C3" w:rsidR="002B6FF2">
        <w:rPr>
          <w:b/>
          <w:bCs/>
        </w:rPr>
        <w:t xml:space="preserve"> 13</w:t>
      </w:r>
    </w:p>
    <w:p w:rsidR="00432E53" w:rsidP="000D6026" w:rsidRDefault="00000000" w14:paraId="24CD8B08" w14:textId="77777777">
      <w:pPr>
        <w:suppressAutoHyphens/>
        <w:spacing w:after="160" w:line="259" w:lineRule="auto"/>
        <w:contextualSpacing/>
      </w:pPr>
      <w:r>
        <w:t xml:space="preserve">Mijn beleid is erop gericht dat patiënten zo snel mogelijk toegang krijgen tot nieuwe, </w:t>
      </w:r>
      <w:r w:rsidR="00E22E95">
        <w:t xml:space="preserve">bewezen </w:t>
      </w:r>
      <w:r>
        <w:t>effectieve en voldoende kosteneffectieve behandelmethoden. Ik zie verschillende mogelijkheden om de beoordeling te stroomlijnen, dan wel anders in te richten</w:t>
      </w:r>
      <w:r w:rsidR="002C0374">
        <w:t>,</w:t>
      </w:r>
      <w:r>
        <w:t xml:space="preserve"> waardoor sneller duidelijk wordt voor welke patiënt een middel van meerwaarde is. </w:t>
      </w:r>
      <w:r w:rsidR="00E22E95">
        <w:t>Door het opstarten van een gezamenlijke beoordeling in Europees verband van</w:t>
      </w:r>
      <w:r w:rsidR="001F43C3">
        <w:t xml:space="preserve"> de</w:t>
      </w:r>
      <w:r w:rsidR="00E22E95">
        <w:t xml:space="preserve"> relatieve effectiviteit van nieuwe geneesmiddelen hoop ik de werklast en capaciteit te verdelen en daarmee doorlooptijden te verkorten. </w:t>
      </w:r>
      <w:r w:rsidR="00EE0DB6">
        <w:t xml:space="preserve">Vanaf januari 2025 start dit onder de Europese HTA-verordening. </w:t>
      </w:r>
      <w:r w:rsidR="00E22E95">
        <w:t xml:space="preserve">Daarnaast maakt de ‘parallelle procedure’ het mogelijk voor </w:t>
      </w:r>
      <w:r w:rsidR="00565470">
        <w:t>fabrikanten</w:t>
      </w:r>
      <w:r w:rsidR="00E22E95">
        <w:t xml:space="preserve"> om beoordelingsdossiers eerder in te dienen</w:t>
      </w:r>
      <w:r w:rsidR="00DC53A9">
        <w:t xml:space="preserve"> bij het Zorginstituut</w:t>
      </w:r>
      <w:r w:rsidR="00E22E95">
        <w:t xml:space="preserve">, wat de doorlooptijd ook kan verkorten. Hier wordt echter weinig gebruik van gemaakt. Ook </w:t>
      </w:r>
      <w:r w:rsidR="001F43C3">
        <w:t xml:space="preserve">beoog ik met </w:t>
      </w:r>
      <w:r w:rsidR="00E22E95">
        <w:t>het toekomst</w:t>
      </w:r>
      <w:r w:rsidR="001F43C3">
        <w:t>ige</w:t>
      </w:r>
      <w:r w:rsidR="00E22E95">
        <w:t xml:space="preserve"> stelsel een efficiënt beoordelingsproces mogelijk</w:t>
      </w:r>
      <w:r w:rsidR="001F43C3">
        <w:t xml:space="preserve"> te maken</w:t>
      </w:r>
      <w:r w:rsidR="00E22E95">
        <w:t xml:space="preserve"> door de informatiebehoefte van het Zorginstituut en de kennis van de beroepsgroep goed op elkaar aan te laten sluiten. Zie hiervoor nogmaals mijn antwoord op vraag 5 en de </w:t>
      </w:r>
      <w:r w:rsidR="002C0374">
        <w:t xml:space="preserve">hierboven genoemde </w:t>
      </w:r>
      <w:r w:rsidR="00E22E95">
        <w:t xml:space="preserve">recente </w:t>
      </w:r>
      <w:r w:rsidR="00565470">
        <w:t>V</w:t>
      </w:r>
      <w:r w:rsidR="00E22E95">
        <w:t xml:space="preserve">oortgangsbrief </w:t>
      </w:r>
      <w:r w:rsidR="00565470">
        <w:t>pakketbeheer</w:t>
      </w:r>
      <w:r w:rsidR="00E22E95">
        <w:t xml:space="preserve"> van dure geneesmiddelen.</w:t>
      </w:r>
      <w:r w:rsidR="00E54ABA">
        <w:t xml:space="preserve"> Tot slot doe ik een oproep aan de geneesmiddelenfabrikanten om de klinische studies beter te laten aansluiten op de praktijk, onder meer door een vergelijking te maken met bestaande behandelingen. Met minder onzekerheden kan de tijd voor besluitvorming bespoedigd worden.    </w:t>
      </w:r>
    </w:p>
    <w:p w:rsidR="00293E4B" w:rsidP="000D6026" w:rsidRDefault="00293E4B" w14:paraId="7C5B8273" w14:textId="77777777">
      <w:pPr>
        <w:suppressAutoHyphens/>
        <w:spacing w:after="160" w:line="259" w:lineRule="auto"/>
        <w:contextualSpacing/>
      </w:pPr>
    </w:p>
    <w:p w:rsidRPr="003D50C3" w:rsidR="005855A6" w:rsidP="000D6026" w:rsidRDefault="00000000" w14:paraId="5DA88018" w14:textId="77777777">
      <w:pPr>
        <w:suppressAutoHyphens/>
        <w:spacing w:after="160" w:line="259" w:lineRule="auto"/>
        <w:contextualSpacing/>
        <w:rPr>
          <w:b/>
          <w:bCs/>
        </w:rPr>
      </w:pPr>
      <w:r w:rsidRPr="003D50C3">
        <w:rPr>
          <w:b/>
          <w:bCs/>
        </w:rPr>
        <w:t>Vraag 14</w:t>
      </w:r>
    </w:p>
    <w:p w:rsidR="005855A6" w:rsidP="000D6026" w:rsidRDefault="00000000" w14:paraId="2446FE8C" w14:textId="77777777">
      <w:pPr>
        <w:suppressAutoHyphens/>
        <w:spacing w:after="160" w:line="259" w:lineRule="auto"/>
        <w:contextualSpacing/>
      </w:pPr>
      <w:r>
        <w:t>Zijn er concrete maatregelen die u wilt nemen om de kluwen aan bureaucratische regels aan te pakken? Deelt u de mening dat geen enkele patiënt de dupe mag worden van bureaucratische processen en dat elke wachtende patiënt er een te veel is?</w:t>
      </w:r>
    </w:p>
    <w:p w:rsidR="00565470" w:rsidP="000D6026" w:rsidRDefault="00565470" w14:paraId="52A014EE" w14:textId="77777777">
      <w:pPr>
        <w:suppressAutoHyphens/>
        <w:spacing w:after="160" w:line="259" w:lineRule="auto"/>
        <w:contextualSpacing/>
      </w:pPr>
    </w:p>
    <w:p w:rsidRPr="003D50C3" w:rsidR="00293E4B" w:rsidP="000D6026" w:rsidRDefault="00000000" w14:paraId="624FC0A8" w14:textId="77777777">
      <w:pPr>
        <w:suppressAutoHyphens/>
        <w:spacing w:after="160" w:line="259" w:lineRule="auto"/>
        <w:contextualSpacing/>
        <w:rPr>
          <w:b/>
          <w:bCs/>
        </w:rPr>
      </w:pPr>
      <w:r w:rsidRPr="003D50C3">
        <w:rPr>
          <w:b/>
          <w:bCs/>
        </w:rPr>
        <w:t>Antwoord</w:t>
      </w:r>
      <w:r w:rsidRPr="003D50C3" w:rsidR="00C4156F">
        <w:rPr>
          <w:b/>
          <w:bCs/>
        </w:rPr>
        <w:t xml:space="preserve"> 14</w:t>
      </w:r>
    </w:p>
    <w:p w:rsidR="00432E53" w:rsidP="000D6026" w:rsidRDefault="00000000" w14:paraId="289ED0D6" w14:textId="77777777">
      <w:pPr>
        <w:suppressAutoHyphens/>
        <w:spacing w:after="160" w:line="259" w:lineRule="auto"/>
        <w:contextualSpacing/>
      </w:pPr>
      <w:r>
        <w:t xml:space="preserve">Als er onnodige bureaucratische processen zijn, dan zijn deze onwenselijk. Veel processen bij de beoordeling van nieuwe dure geneesmiddelen zijn echter wel wenselijk, want nodig om de kwaliteit van zorg en de </w:t>
      </w:r>
      <w:r w:rsidR="00946107">
        <w:t>beschikbaarheid</w:t>
      </w:r>
      <w:r w:rsidR="00EE0DB6">
        <w:t xml:space="preserve"> van nieuwe geneesmiddelen te waarborgen</w:t>
      </w:r>
      <w:r w:rsidR="00E363B9">
        <w:t>,</w:t>
      </w:r>
      <w:r>
        <w:t xml:space="preserve"> ook op de lange termijn. </w:t>
      </w:r>
      <w:r w:rsidR="00E363B9">
        <w:t>Sterker nog, dat er verschillende routes naar vergoeding bestaan, geeft blijk van de ruimte die er is voor maatwerk.</w:t>
      </w:r>
      <w:r>
        <w:rPr>
          <w:rStyle w:val="Voetnootmarkering"/>
        </w:rPr>
        <w:footnoteReference w:id="14"/>
      </w:r>
      <w:r w:rsidR="00E363B9">
        <w:t xml:space="preserve"> </w:t>
      </w:r>
      <w:r>
        <w:t>Ik deel wel de mening dat beter uitgelegd kan worden welke processen er zijn e</w:t>
      </w:r>
      <w:r w:rsidR="00837975">
        <w:t>n</w:t>
      </w:r>
      <w:r>
        <w:t xml:space="preserve"> waartoe deze dienen. </w:t>
      </w:r>
      <w:r w:rsidR="00E22E95">
        <w:t xml:space="preserve">Ik werk daarom aan een uitleg </w:t>
      </w:r>
      <w:r w:rsidR="004C6E78">
        <w:t xml:space="preserve">voor het brede publiek </w:t>
      </w:r>
      <w:r w:rsidR="00E22E95">
        <w:t>waarin ik beschrijf waar we op inzetten om dit systeem toekomstbestendig te maken en de noodzaak hiervoor. Tevens beschrijf ik hierin waarom we strikte eisen moeten stellen aan de instroom van nieuwe geneesmiddelen. Hoewel dit niet de gevolgen van het wachten op een behandeling wegneemt, hoop ik hiermee het inzicht en begrip van de maatschappij te vergroten.</w:t>
      </w:r>
    </w:p>
    <w:p w:rsidR="00293E4B" w:rsidP="000D6026" w:rsidRDefault="00293E4B" w14:paraId="6FBE797B" w14:textId="77777777">
      <w:pPr>
        <w:suppressAutoHyphens/>
        <w:spacing w:after="160" w:line="259" w:lineRule="auto"/>
        <w:contextualSpacing/>
      </w:pPr>
    </w:p>
    <w:p w:rsidRPr="003D50C3" w:rsidR="005855A6" w:rsidP="000D6026" w:rsidRDefault="00000000" w14:paraId="7947586B" w14:textId="77777777">
      <w:pPr>
        <w:suppressAutoHyphens/>
        <w:spacing w:after="160" w:line="259" w:lineRule="auto"/>
        <w:contextualSpacing/>
        <w:rPr>
          <w:b/>
          <w:bCs/>
        </w:rPr>
      </w:pPr>
      <w:r w:rsidRPr="003D50C3">
        <w:rPr>
          <w:b/>
          <w:bCs/>
        </w:rPr>
        <w:t>Vraag 15</w:t>
      </w:r>
    </w:p>
    <w:p w:rsidR="005855A6" w:rsidP="000D6026" w:rsidRDefault="00000000" w14:paraId="41180113" w14:textId="77777777">
      <w:pPr>
        <w:suppressAutoHyphens/>
        <w:spacing w:after="160" w:line="259" w:lineRule="auto"/>
        <w:contextualSpacing/>
      </w:pPr>
      <w:r>
        <w:t>Is het u bekend dat er klinische studies van oncologen worden afgewezen, omdat de standaardbehandeling te veel afwijkt van de rest van Europa? Om hoeveel studies gaat dit en wat gaat u er aan doen om er weer voor te zorgen dat er topwetenschap bedreven kan worden in Nederland op het gebied van kankeronderzoek?</w:t>
      </w:r>
    </w:p>
    <w:p w:rsidR="005855A6" w:rsidP="000D6026" w:rsidRDefault="005855A6" w14:paraId="50EE07A6" w14:textId="77777777">
      <w:pPr>
        <w:suppressAutoHyphens/>
      </w:pPr>
    </w:p>
    <w:p w:rsidR="000D6026" w:rsidP="000D6026" w:rsidRDefault="000D6026" w14:paraId="36114E26" w14:textId="77777777">
      <w:pPr>
        <w:suppressAutoHyphens/>
      </w:pPr>
    </w:p>
    <w:p w:rsidRPr="003D50C3" w:rsidR="00293E4B" w:rsidP="000D6026" w:rsidRDefault="00000000" w14:paraId="56A84BA9" w14:textId="77777777">
      <w:pPr>
        <w:suppressAutoHyphens/>
        <w:rPr>
          <w:b/>
          <w:bCs/>
        </w:rPr>
      </w:pPr>
      <w:r w:rsidRPr="003D50C3">
        <w:rPr>
          <w:b/>
          <w:bCs/>
        </w:rPr>
        <w:lastRenderedPageBreak/>
        <w:t>Antwoord</w:t>
      </w:r>
      <w:r w:rsidRPr="003D50C3" w:rsidR="00946107">
        <w:rPr>
          <w:b/>
          <w:bCs/>
        </w:rPr>
        <w:t xml:space="preserve"> 15</w:t>
      </w:r>
    </w:p>
    <w:p w:rsidR="00946107" w:rsidP="000D6026" w:rsidRDefault="00000000" w14:paraId="116B82DD" w14:textId="77777777">
      <w:pPr>
        <w:suppressAutoHyphens/>
        <w:rPr>
          <w:color w:val="1F497D"/>
        </w:rPr>
      </w:pPr>
      <w:r>
        <w:t xml:space="preserve">Ik </w:t>
      </w:r>
      <w:r w:rsidRPr="00484C35">
        <w:t>heb deze vraag voorgelegd aan de beroepsvereniging (NVMO). Zij laten mij weten dat zij geluiden hebben vernomen dat er minder studies naar Nederland komen, maar ook geluiden dat dat niet het geval is. Via de VIG verkregen zij onderstaande tabel</w:t>
      </w:r>
      <w:r w:rsidR="00565470">
        <w:t>, waarbij de zoekmethode niet nader is toegelicht</w:t>
      </w:r>
      <w:r w:rsidR="00484C35">
        <w:t>:</w:t>
      </w:r>
      <w:r w:rsidRPr="00484C35">
        <w:t>    </w:t>
      </w:r>
    </w:p>
    <w:p w:rsidR="00946107" w:rsidP="000D6026" w:rsidRDefault="00946107" w14:paraId="64882469" w14:textId="77777777">
      <w:pPr>
        <w:suppressAutoHyphens/>
        <w:rPr>
          <w:sz w:val="24"/>
          <w:szCs w:val="24"/>
          <w14:ligatures w14:val="standardContextual"/>
        </w:rPr>
      </w:pPr>
    </w:p>
    <w:tbl>
      <w:tblPr>
        <w:tblW w:w="5760" w:type="dxa"/>
        <w:tblCellMar>
          <w:left w:w="0" w:type="dxa"/>
          <w:right w:w="0" w:type="dxa"/>
        </w:tblCellMar>
        <w:tblLook w:val="04A0" w:firstRow="1" w:lastRow="0" w:firstColumn="1" w:lastColumn="0" w:noHBand="0" w:noVBand="1"/>
      </w:tblPr>
      <w:tblGrid>
        <w:gridCol w:w="1345"/>
        <w:gridCol w:w="1525"/>
        <w:gridCol w:w="1365"/>
        <w:gridCol w:w="1525"/>
      </w:tblGrid>
      <w:tr w:rsidR="00131299" w:rsidTr="00946107" w14:paraId="64E81FC1" w14:textId="77777777">
        <w:trPr>
          <w:trHeight w:val="404"/>
        </w:trPr>
        <w:tc>
          <w:tcPr>
            <w:tcW w:w="1340" w:type="dxa"/>
            <w:tcBorders>
              <w:top w:val="single" w:color="FFFFFF" w:sz="8" w:space="0"/>
              <w:left w:val="single" w:color="FFFFFF" w:sz="8" w:space="0"/>
              <w:bottom w:val="single" w:color="FFFFFF" w:sz="24" w:space="0"/>
              <w:right w:val="single" w:color="FFFFFF" w:sz="8" w:space="0"/>
            </w:tcBorders>
            <w:shd w:val="clear" w:color="auto" w:fill="831538"/>
            <w:tcMar>
              <w:top w:w="15" w:type="dxa"/>
              <w:left w:w="108" w:type="dxa"/>
              <w:bottom w:w="0" w:type="dxa"/>
              <w:right w:w="108" w:type="dxa"/>
            </w:tcMar>
            <w:hideMark/>
          </w:tcPr>
          <w:p w:rsidR="00946107" w:rsidP="000D6026" w:rsidRDefault="00000000" w14:paraId="55E9BEF6" w14:textId="77777777">
            <w:pPr>
              <w:suppressAutoHyphens/>
              <w:spacing w:line="252" w:lineRule="auto"/>
              <w:rPr>
                <w:rFonts w:ascii="Arial" w:hAnsi="Arial" w:cs="Arial"/>
                <w:sz w:val="36"/>
                <w:szCs w:val="36"/>
              </w:rPr>
            </w:pPr>
            <w:r>
              <w:rPr>
                <w:b/>
                <w:bCs/>
                <w:color w:val="FFFFFF"/>
                <w:sz w:val="20"/>
              </w:rPr>
              <w:t>Year</w:t>
            </w:r>
          </w:p>
        </w:tc>
        <w:tc>
          <w:tcPr>
            <w:tcW w:w="1520" w:type="dxa"/>
            <w:tcBorders>
              <w:top w:val="single" w:color="FFFFFF" w:sz="8" w:space="0"/>
              <w:left w:val="nil"/>
              <w:bottom w:val="single" w:color="FFFFFF" w:sz="24" w:space="0"/>
              <w:right w:val="single" w:color="FFFFFF" w:sz="8" w:space="0"/>
            </w:tcBorders>
            <w:shd w:val="clear" w:color="auto" w:fill="831538"/>
            <w:tcMar>
              <w:top w:w="15" w:type="dxa"/>
              <w:left w:w="108" w:type="dxa"/>
              <w:bottom w:w="0" w:type="dxa"/>
              <w:right w:w="108" w:type="dxa"/>
            </w:tcMar>
            <w:hideMark/>
          </w:tcPr>
          <w:p w:rsidR="00946107" w:rsidP="000D6026" w:rsidRDefault="00000000" w14:paraId="034FD603" w14:textId="77777777">
            <w:pPr>
              <w:suppressAutoHyphens/>
              <w:spacing w:line="252" w:lineRule="auto"/>
              <w:rPr>
                <w:rFonts w:ascii="Arial" w:hAnsi="Arial" w:cs="Arial"/>
                <w:sz w:val="36"/>
                <w:szCs w:val="36"/>
              </w:rPr>
            </w:pPr>
            <w:r>
              <w:rPr>
                <w:b/>
                <w:bCs/>
                <w:color w:val="FFFFFF"/>
                <w:sz w:val="20"/>
              </w:rPr>
              <w:t>Europe</w:t>
            </w:r>
          </w:p>
        </w:tc>
        <w:tc>
          <w:tcPr>
            <w:tcW w:w="1360" w:type="dxa"/>
            <w:tcBorders>
              <w:top w:val="single" w:color="FFFFFF" w:sz="8" w:space="0"/>
              <w:left w:val="nil"/>
              <w:bottom w:val="single" w:color="FFFFFF" w:sz="24" w:space="0"/>
              <w:right w:val="single" w:color="FFFFFF" w:sz="8" w:space="0"/>
            </w:tcBorders>
            <w:shd w:val="clear" w:color="auto" w:fill="831538"/>
            <w:tcMar>
              <w:top w:w="15" w:type="dxa"/>
              <w:left w:w="108" w:type="dxa"/>
              <w:bottom w:w="0" w:type="dxa"/>
              <w:right w:w="108" w:type="dxa"/>
            </w:tcMar>
            <w:hideMark/>
          </w:tcPr>
          <w:p w:rsidR="00946107" w:rsidP="000D6026" w:rsidRDefault="00000000" w14:paraId="28D1E11F" w14:textId="77777777">
            <w:pPr>
              <w:suppressAutoHyphens/>
              <w:spacing w:line="252" w:lineRule="auto"/>
              <w:rPr>
                <w:rFonts w:ascii="Arial" w:hAnsi="Arial" w:cs="Arial"/>
                <w:sz w:val="36"/>
                <w:szCs w:val="36"/>
              </w:rPr>
            </w:pPr>
            <w:r>
              <w:rPr>
                <w:b/>
                <w:bCs/>
                <w:color w:val="FFFFFF"/>
                <w:sz w:val="20"/>
              </w:rPr>
              <w:t>NL</w:t>
            </w:r>
          </w:p>
        </w:tc>
        <w:tc>
          <w:tcPr>
            <w:tcW w:w="1520" w:type="dxa"/>
            <w:tcBorders>
              <w:top w:val="single" w:color="FFFFFF" w:sz="8" w:space="0"/>
              <w:left w:val="nil"/>
              <w:bottom w:val="single" w:color="FFFFFF" w:sz="24" w:space="0"/>
              <w:right w:val="single" w:color="FFFFFF" w:sz="8" w:space="0"/>
            </w:tcBorders>
            <w:shd w:val="clear" w:color="auto" w:fill="831538"/>
            <w:tcMar>
              <w:top w:w="15" w:type="dxa"/>
              <w:left w:w="108" w:type="dxa"/>
              <w:bottom w:w="0" w:type="dxa"/>
              <w:right w:w="108" w:type="dxa"/>
            </w:tcMar>
            <w:hideMark/>
          </w:tcPr>
          <w:p w:rsidR="00946107" w:rsidP="000D6026" w:rsidRDefault="00000000" w14:paraId="16B6264D" w14:textId="77777777">
            <w:pPr>
              <w:suppressAutoHyphens/>
              <w:spacing w:line="252" w:lineRule="auto"/>
              <w:rPr>
                <w:rFonts w:ascii="Arial" w:hAnsi="Arial" w:cs="Arial"/>
                <w:sz w:val="36"/>
                <w:szCs w:val="36"/>
              </w:rPr>
            </w:pPr>
            <w:r>
              <w:rPr>
                <w:b/>
                <w:bCs/>
                <w:color w:val="FFFFFF"/>
                <w:sz w:val="20"/>
              </w:rPr>
              <w:t>%</w:t>
            </w:r>
          </w:p>
        </w:tc>
      </w:tr>
      <w:tr w:rsidR="00131299" w:rsidTr="00946107" w14:paraId="5001D61D" w14:textId="77777777">
        <w:trPr>
          <w:trHeight w:val="404"/>
        </w:trPr>
        <w:tc>
          <w:tcPr>
            <w:tcW w:w="1340" w:type="dxa"/>
            <w:tcBorders>
              <w:top w:val="nil"/>
              <w:left w:val="single" w:color="FFFFFF" w:sz="8" w:space="0"/>
              <w:bottom w:val="single" w:color="FFFFFF" w:sz="8" w:space="0"/>
              <w:right w:val="single" w:color="FFFFFF" w:sz="8" w:space="0"/>
            </w:tcBorders>
            <w:shd w:val="clear" w:color="auto" w:fill="831538"/>
            <w:tcMar>
              <w:top w:w="15" w:type="dxa"/>
              <w:left w:w="108" w:type="dxa"/>
              <w:bottom w:w="0" w:type="dxa"/>
              <w:right w:w="108" w:type="dxa"/>
            </w:tcMar>
            <w:hideMark/>
          </w:tcPr>
          <w:p w:rsidR="00946107" w:rsidP="000D6026" w:rsidRDefault="00000000" w14:paraId="38170967" w14:textId="77777777">
            <w:pPr>
              <w:suppressAutoHyphens/>
              <w:spacing w:line="252" w:lineRule="auto"/>
              <w:rPr>
                <w:rFonts w:ascii="Arial" w:hAnsi="Arial" w:cs="Arial"/>
                <w:sz w:val="36"/>
                <w:szCs w:val="36"/>
              </w:rPr>
            </w:pPr>
            <w:r>
              <w:rPr>
                <w:b/>
                <w:bCs/>
                <w:color w:val="FFFFFF"/>
                <w:sz w:val="20"/>
              </w:rPr>
              <w:t>2018</w:t>
            </w:r>
          </w:p>
        </w:tc>
        <w:tc>
          <w:tcPr>
            <w:tcW w:w="152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66D08989" w14:textId="77777777">
            <w:pPr>
              <w:suppressAutoHyphens/>
              <w:spacing w:line="252" w:lineRule="auto"/>
              <w:rPr>
                <w:rFonts w:ascii="Arial" w:hAnsi="Arial" w:cs="Arial"/>
                <w:sz w:val="36"/>
                <w:szCs w:val="36"/>
              </w:rPr>
            </w:pPr>
            <w:r>
              <w:rPr>
                <w:color w:val="000000"/>
                <w:sz w:val="20"/>
              </w:rPr>
              <w:t>183</w:t>
            </w:r>
          </w:p>
        </w:tc>
        <w:tc>
          <w:tcPr>
            <w:tcW w:w="136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693933CB" w14:textId="77777777">
            <w:pPr>
              <w:suppressAutoHyphens/>
              <w:spacing w:line="252" w:lineRule="auto"/>
              <w:rPr>
                <w:rFonts w:ascii="Arial" w:hAnsi="Arial" w:cs="Arial"/>
                <w:sz w:val="36"/>
                <w:szCs w:val="36"/>
              </w:rPr>
            </w:pPr>
            <w:r>
              <w:rPr>
                <w:color w:val="000000"/>
                <w:sz w:val="20"/>
              </w:rPr>
              <w:t>44</w:t>
            </w:r>
          </w:p>
        </w:tc>
        <w:tc>
          <w:tcPr>
            <w:tcW w:w="152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5284E995" w14:textId="77777777">
            <w:pPr>
              <w:suppressAutoHyphens/>
              <w:spacing w:line="252" w:lineRule="auto"/>
              <w:rPr>
                <w:rFonts w:ascii="Arial" w:hAnsi="Arial" w:cs="Arial"/>
                <w:sz w:val="36"/>
                <w:szCs w:val="36"/>
              </w:rPr>
            </w:pPr>
            <w:r>
              <w:rPr>
                <w:color w:val="000000"/>
                <w:sz w:val="20"/>
              </w:rPr>
              <w:t>24</w:t>
            </w:r>
          </w:p>
        </w:tc>
      </w:tr>
      <w:tr w:rsidR="00131299" w:rsidTr="00946107" w14:paraId="7197C88F" w14:textId="77777777">
        <w:trPr>
          <w:trHeight w:val="404"/>
        </w:trPr>
        <w:tc>
          <w:tcPr>
            <w:tcW w:w="1340" w:type="dxa"/>
            <w:tcBorders>
              <w:top w:val="nil"/>
              <w:left w:val="single" w:color="FFFFFF" w:sz="8" w:space="0"/>
              <w:bottom w:val="single" w:color="FFFFFF" w:sz="8" w:space="0"/>
              <w:right w:val="single" w:color="FFFFFF" w:sz="8" w:space="0"/>
            </w:tcBorders>
            <w:shd w:val="clear" w:color="auto" w:fill="831538"/>
            <w:tcMar>
              <w:top w:w="15" w:type="dxa"/>
              <w:left w:w="108" w:type="dxa"/>
              <w:bottom w:w="0" w:type="dxa"/>
              <w:right w:w="108" w:type="dxa"/>
            </w:tcMar>
            <w:hideMark/>
          </w:tcPr>
          <w:p w:rsidR="00946107" w:rsidP="000D6026" w:rsidRDefault="00000000" w14:paraId="71800055" w14:textId="77777777">
            <w:pPr>
              <w:suppressAutoHyphens/>
              <w:spacing w:line="252" w:lineRule="auto"/>
              <w:rPr>
                <w:rFonts w:ascii="Arial" w:hAnsi="Arial" w:cs="Arial"/>
                <w:sz w:val="36"/>
                <w:szCs w:val="36"/>
              </w:rPr>
            </w:pPr>
            <w:r>
              <w:rPr>
                <w:b/>
                <w:bCs/>
                <w:color w:val="FFFFFF"/>
                <w:sz w:val="20"/>
              </w:rPr>
              <w:t>2019</w:t>
            </w:r>
          </w:p>
        </w:tc>
        <w:tc>
          <w:tcPr>
            <w:tcW w:w="1520" w:type="dxa"/>
            <w:tcBorders>
              <w:top w:val="nil"/>
              <w:left w:val="nil"/>
              <w:bottom w:val="single" w:color="FFFFFF" w:sz="8" w:space="0"/>
              <w:right w:val="single" w:color="FFFFFF" w:sz="8" w:space="0"/>
            </w:tcBorders>
            <w:shd w:val="clear" w:color="auto" w:fill="EDE7E8"/>
            <w:tcMar>
              <w:top w:w="15" w:type="dxa"/>
              <w:left w:w="108" w:type="dxa"/>
              <w:bottom w:w="0" w:type="dxa"/>
              <w:right w:w="108" w:type="dxa"/>
            </w:tcMar>
            <w:hideMark/>
          </w:tcPr>
          <w:p w:rsidR="00946107" w:rsidP="000D6026" w:rsidRDefault="00000000" w14:paraId="5699A900" w14:textId="77777777">
            <w:pPr>
              <w:suppressAutoHyphens/>
              <w:spacing w:line="252" w:lineRule="auto"/>
              <w:rPr>
                <w:rFonts w:ascii="Arial" w:hAnsi="Arial" w:cs="Arial"/>
                <w:sz w:val="36"/>
                <w:szCs w:val="36"/>
              </w:rPr>
            </w:pPr>
            <w:r>
              <w:rPr>
                <w:color w:val="000000"/>
                <w:sz w:val="20"/>
              </w:rPr>
              <w:t>279</w:t>
            </w:r>
          </w:p>
        </w:tc>
        <w:tc>
          <w:tcPr>
            <w:tcW w:w="1360" w:type="dxa"/>
            <w:tcBorders>
              <w:top w:val="nil"/>
              <w:left w:val="nil"/>
              <w:bottom w:val="single" w:color="FFFFFF" w:sz="8" w:space="0"/>
              <w:right w:val="single" w:color="FFFFFF" w:sz="8" w:space="0"/>
            </w:tcBorders>
            <w:shd w:val="clear" w:color="auto" w:fill="EDE7E8"/>
            <w:tcMar>
              <w:top w:w="15" w:type="dxa"/>
              <w:left w:w="108" w:type="dxa"/>
              <w:bottom w:w="0" w:type="dxa"/>
              <w:right w:w="108" w:type="dxa"/>
            </w:tcMar>
            <w:hideMark/>
          </w:tcPr>
          <w:p w:rsidR="00946107" w:rsidP="000D6026" w:rsidRDefault="00000000" w14:paraId="5FF54309" w14:textId="77777777">
            <w:pPr>
              <w:suppressAutoHyphens/>
              <w:spacing w:line="252" w:lineRule="auto"/>
              <w:rPr>
                <w:rFonts w:ascii="Arial" w:hAnsi="Arial" w:cs="Arial"/>
                <w:sz w:val="36"/>
                <w:szCs w:val="36"/>
              </w:rPr>
            </w:pPr>
            <w:r>
              <w:rPr>
                <w:color w:val="000000"/>
                <w:sz w:val="20"/>
              </w:rPr>
              <w:t>63</w:t>
            </w:r>
          </w:p>
        </w:tc>
        <w:tc>
          <w:tcPr>
            <w:tcW w:w="1520" w:type="dxa"/>
            <w:tcBorders>
              <w:top w:val="nil"/>
              <w:left w:val="nil"/>
              <w:bottom w:val="single" w:color="FFFFFF" w:sz="8" w:space="0"/>
              <w:right w:val="single" w:color="FFFFFF" w:sz="8" w:space="0"/>
            </w:tcBorders>
            <w:shd w:val="clear" w:color="auto" w:fill="EDE7E8"/>
            <w:tcMar>
              <w:top w:w="15" w:type="dxa"/>
              <w:left w:w="108" w:type="dxa"/>
              <w:bottom w:w="0" w:type="dxa"/>
              <w:right w:w="108" w:type="dxa"/>
            </w:tcMar>
            <w:hideMark/>
          </w:tcPr>
          <w:p w:rsidR="00946107" w:rsidP="000D6026" w:rsidRDefault="00000000" w14:paraId="5F198889" w14:textId="77777777">
            <w:pPr>
              <w:suppressAutoHyphens/>
              <w:spacing w:line="252" w:lineRule="auto"/>
              <w:rPr>
                <w:rFonts w:ascii="Arial" w:hAnsi="Arial" w:cs="Arial"/>
                <w:sz w:val="36"/>
                <w:szCs w:val="36"/>
              </w:rPr>
            </w:pPr>
            <w:r>
              <w:rPr>
                <w:color w:val="000000"/>
                <w:sz w:val="20"/>
              </w:rPr>
              <w:t>23</w:t>
            </w:r>
          </w:p>
        </w:tc>
      </w:tr>
      <w:tr w:rsidR="00131299" w:rsidTr="00946107" w14:paraId="2D6081D0" w14:textId="77777777">
        <w:trPr>
          <w:trHeight w:val="404"/>
        </w:trPr>
        <w:tc>
          <w:tcPr>
            <w:tcW w:w="1340" w:type="dxa"/>
            <w:tcBorders>
              <w:top w:val="nil"/>
              <w:left w:val="single" w:color="FFFFFF" w:sz="8" w:space="0"/>
              <w:bottom w:val="single" w:color="FFFFFF" w:sz="8" w:space="0"/>
              <w:right w:val="single" w:color="FFFFFF" w:sz="8" w:space="0"/>
            </w:tcBorders>
            <w:shd w:val="clear" w:color="auto" w:fill="831538"/>
            <w:tcMar>
              <w:top w:w="15" w:type="dxa"/>
              <w:left w:w="108" w:type="dxa"/>
              <w:bottom w:w="0" w:type="dxa"/>
              <w:right w:w="108" w:type="dxa"/>
            </w:tcMar>
            <w:hideMark/>
          </w:tcPr>
          <w:p w:rsidR="00946107" w:rsidP="000D6026" w:rsidRDefault="00000000" w14:paraId="66F5F927" w14:textId="77777777">
            <w:pPr>
              <w:suppressAutoHyphens/>
              <w:spacing w:line="252" w:lineRule="auto"/>
              <w:rPr>
                <w:rFonts w:ascii="Arial" w:hAnsi="Arial" w:cs="Arial"/>
                <w:sz w:val="36"/>
                <w:szCs w:val="36"/>
              </w:rPr>
            </w:pPr>
            <w:r>
              <w:rPr>
                <w:b/>
                <w:bCs/>
                <w:color w:val="FFFFFF"/>
                <w:sz w:val="20"/>
              </w:rPr>
              <w:t>2020</w:t>
            </w:r>
          </w:p>
        </w:tc>
        <w:tc>
          <w:tcPr>
            <w:tcW w:w="152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056439E5" w14:textId="77777777">
            <w:pPr>
              <w:suppressAutoHyphens/>
              <w:spacing w:line="252" w:lineRule="auto"/>
              <w:rPr>
                <w:rFonts w:ascii="Arial" w:hAnsi="Arial" w:cs="Arial"/>
                <w:sz w:val="36"/>
                <w:szCs w:val="36"/>
              </w:rPr>
            </w:pPr>
            <w:r>
              <w:rPr>
                <w:color w:val="000000"/>
                <w:sz w:val="20"/>
              </w:rPr>
              <w:t>322</w:t>
            </w:r>
          </w:p>
        </w:tc>
        <w:tc>
          <w:tcPr>
            <w:tcW w:w="136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710DA8CE" w14:textId="77777777">
            <w:pPr>
              <w:suppressAutoHyphens/>
              <w:spacing w:line="252" w:lineRule="auto"/>
              <w:rPr>
                <w:rFonts w:ascii="Arial" w:hAnsi="Arial" w:cs="Arial"/>
                <w:sz w:val="36"/>
                <w:szCs w:val="36"/>
              </w:rPr>
            </w:pPr>
            <w:r>
              <w:rPr>
                <w:color w:val="000000"/>
                <w:sz w:val="20"/>
              </w:rPr>
              <w:t>79</w:t>
            </w:r>
          </w:p>
        </w:tc>
        <w:tc>
          <w:tcPr>
            <w:tcW w:w="152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3411E3E4" w14:textId="77777777">
            <w:pPr>
              <w:suppressAutoHyphens/>
              <w:spacing w:line="252" w:lineRule="auto"/>
              <w:rPr>
                <w:rFonts w:ascii="Arial" w:hAnsi="Arial" w:cs="Arial"/>
                <w:sz w:val="36"/>
                <w:szCs w:val="36"/>
              </w:rPr>
            </w:pPr>
            <w:r>
              <w:rPr>
                <w:color w:val="000000"/>
                <w:sz w:val="20"/>
              </w:rPr>
              <w:t>25</w:t>
            </w:r>
          </w:p>
        </w:tc>
      </w:tr>
      <w:tr w:rsidR="00131299" w:rsidTr="00946107" w14:paraId="647B74A4" w14:textId="77777777">
        <w:trPr>
          <w:trHeight w:val="404"/>
        </w:trPr>
        <w:tc>
          <w:tcPr>
            <w:tcW w:w="1340" w:type="dxa"/>
            <w:tcBorders>
              <w:top w:val="nil"/>
              <w:left w:val="single" w:color="FFFFFF" w:sz="8" w:space="0"/>
              <w:bottom w:val="single" w:color="FFFFFF" w:sz="8" w:space="0"/>
              <w:right w:val="single" w:color="FFFFFF" w:sz="8" w:space="0"/>
            </w:tcBorders>
            <w:shd w:val="clear" w:color="auto" w:fill="831538"/>
            <w:tcMar>
              <w:top w:w="15" w:type="dxa"/>
              <w:left w:w="108" w:type="dxa"/>
              <w:bottom w:w="0" w:type="dxa"/>
              <w:right w:w="108" w:type="dxa"/>
            </w:tcMar>
            <w:hideMark/>
          </w:tcPr>
          <w:p w:rsidR="00946107" w:rsidP="000D6026" w:rsidRDefault="00000000" w14:paraId="6A60D630" w14:textId="77777777">
            <w:pPr>
              <w:suppressAutoHyphens/>
              <w:spacing w:line="252" w:lineRule="auto"/>
              <w:rPr>
                <w:rFonts w:ascii="Arial" w:hAnsi="Arial" w:cs="Arial"/>
                <w:sz w:val="36"/>
                <w:szCs w:val="36"/>
              </w:rPr>
            </w:pPr>
            <w:r>
              <w:rPr>
                <w:b/>
                <w:bCs/>
                <w:color w:val="FFFFFF"/>
                <w:sz w:val="20"/>
              </w:rPr>
              <w:t>2021</w:t>
            </w:r>
          </w:p>
        </w:tc>
        <w:tc>
          <w:tcPr>
            <w:tcW w:w="1520" w:type="dxa"/>
            <w:tcBorders>
              <w:top w:val="nil"/>
              <w:left w:val="nil"/>
              <w:bottom w:val="single" w:color="FFFFFF" w:sz="8" w:space="0"/>
              <w:right w:val="single" w:color="FFFFFF" w:sz="8" w:space="0"/>
            </w:tcBorders>
            <w:shd w:val="clear" w:color="auto" w:fill="EDE7E8"/>
            <w:tcMar>
              <w:top w:w="15" w:type="dxa"/>
              <w:left w:w="108" w:type="dxa"/>
              <w:bottom w:w="0" w:type="dxa"/>
              <w:right w:w="108" w:type="dxa"/>
            </w:tcMar>
            <w:hideMark/>
          </w:tcPr>
          <w:p w:rsidR="00946107" w:rsidP="000D6026" w:rsidRDefault="00000000" w14:paraId="2005D02C" w14:textId="77777777">
            <w:pPr>
              <w:suppressAutoHyphens/>
              <w:spacing w:line="252" w:lineRule="auto"/>
              <w:rPr>
                <w:rFonts w:ascii="Arial" w:hAnsi="Arial" w:cs="Arial"/>
                <w:sz w:val="36"/>
                <w:szCs w:val="36"/>
              </w:rPr>
            </w:pPr>
            <w:r>
              <w:rPr>
                <w:color w:val="000000"/>
                <w:sz w:val="20"/>
              </w:rPr>
              <w:t>486</w:t>
            </w:r>
          </w:p>
        </w:tc>
        <w:tc>
          <w:tcPr>
            <w:tcW w:w="1360" w:type="dxa"/>
            <w:tcBorders>
              <w:top w:val="nil"/>
              <w:left w:val="nil"/>
              <w:bottom w:val="single" w:color="FFFFFF" w:sz="8" w:space="0"/>
              <w:right w:val="single" w:color="FFFFFF" w:sz="8" w:space="0"/>
            </w:tcBorders>
            <w:shd w:val="clear" w:color="auto" w:fill="EDE7E8"/>
            <w:tcMar>
              <w:top w:w="15" w:type="dxa"/>
              <w:left w:w="108" w:type="dxa"/>
              <w:bottom w:w="0" w:type="dxa"/>
              <w:right w:w="108" w:type="dxa"/>
            </w:tcMar>
            <w:hideMark/>
          </w:tcPr>
          <w:p w:rsidR="00946107" w:rsidP="000D6026" w:rsidRDefault="00000000" w14:paraId="1A0FEE92" w14:textId="77777777">
            <w:pPr>
              <w:suppressAutoHyphens/>
              <w:spacing w:line="252" w:lineRule="auto"/>
              <w:rPr>
                <w:rFonts w:ascii="Arial" w:hAnsi="Arial" w:cs="Arial"/>
                <w:sz w:val="36"/>
                <w:szCs w:val="36"/>
              </w:rPr>
            </w:pPr>
            <w:r>
              <w:rPr>
                <w:color w:val="000000"/>
                <w:sz w:val="20"/>
              </w:rPr>
              <w:t>112</w:t>
            </w:r>
          </w:p>
        </w:tc>
        <w:tc>
          <w:tcPr>
            <w:tcW w:w="1520" w:type="dxa"/>
            <w:tcBorders>
              <w:top w:val="nil"/>
              <w:left w:val="nil"/>
              <w:bottom w:val="single" w:color="FFFFFF" w:sz="8" w:space="0"/>
              <w:right w:val="single" w:color="FFFFFF" w:sz="8" w:space="0"/>
            </w:tcBorders>
            <w:shd w:val="clear" w:color="auto" w:fill="EDE7E8"/>
            <w:tcMar>
              <w:top w:w="15" w:type="dxa"/>
              <w:left w:w="108" w:type="dxa"/>
              <w:bottom w:w="0" w:type="dxa"/>
              <w:right w:w="108" w:type="dxa"/>
            </w:tcMar>
            <w:hideMark/>
          </w:tcPr>
          <w:p w:rsidR="00946107" w:rsidP="000D6026" w:rsidRDefault="00000000" w14:paraId="70400E8F" w14:textId="77777777">
            <w:pPr>
              <w:suppressAutoHyphens/>
              <w:spacing w:line="252" w:lineRule="auto"/>
              <w:rPr>
                <w:rFonts w:ascii="Arial" w:hAnsi="Arial" w:cs="Arial"/>
                <w:sz w:val="36"/>
                <w:szCs w:val="36"/>
              </w:rPr>
            </w:pPr>
            <w:r>
              <w:rPr>
                <w:color w:val="000000"/>
                <w:sz w:val="20"/>
              </w:rPr>
              <w:t>23</w:t>
            </w:r>
          </w:p>
        </w:tc>
      </w:tr>
      <w:tr w:rsidR="00131299" w:rsidTr="00946107" w14:paraId="2420AB43" w14:textId="77777777">
        <w:trPr>
          <w:trHeight w:val="404"/>
        </w:trPr>
        <w:tc>
          <w:tcPr>
            <w:tcW w:w="1340" w:type="dxa"/>
            <w:tcBorders>
              <w:top w:val="nil"/>
              <w:left w:val="single" w:color="FFFFFF" w:sz="8" w:space="0"/>
              <w:bottom w:val="single" w:color="FFFFFF" w:sz="8" w:space="0"/>
              <w:right w:val="single" w:color="FFFFFF" w:sz="8" w:space="0"/>
            </w:tcBorders>
            <w:shd w:val="clear" w:color="auto" w:fill="831538"/>
            <w:tcMar>
              <w:top w:w="15" w:type="dxa"/>
              <w:left w:w="108" w:type="dxa"/>
              <w:bottom w:w="0" w:type="dxa"/>
              <w:right w:w="108" w:type="dxa"/>
            </w:tcMar>
            <w:hideMark/>
          </w:tcPr>
          <w:p w:rsidR="00946107" w:rsidP="000D6026" w:rsidRDefault="00000000" w14:paraId="6F36989C" w14:textId="77777777">
            <w:pPr>
              <w:suppressAutoHyphens/>
              <w:spacing w:line="252" w:lineRule="auto"/>
              <w:rPr>
                <w:rFonts w:ascii="Arial" w:hAnsi="Arial" w:cs="Arial"/>
                <w:sz w:val="36"/>
                <w:szCs w:val="36"/>
              </w:rPr>
            </w:pPr>
            <w:r>
              <w:rPr>
                <w:b/>
                <w:bCs/>
                <w:color w:val="FFFFFF"/>
                <w:sz w:val="20"/>
              </w:rPr>
              <w:t>2022</w:t>
            </w:r>
          </w:p>
        </w:tc>
        <w:tc>
          <w:tcPr>
            <w:tcW w:w="152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1C897B21" w14:textId="77777777">
            <w:pPr>
              <w:suppressAutoHyphens/>
              <w:spacing w:line="252" w:lineRule="auto"/>
              <w:rPr>
                <w:rFonts w:ascii="Arial" w:hAnsi="Arial" w:cs="Arial"/>
                <w:sz w:val="36"/>
                <w:szCs w:val="36"/>
              </w:rPr>
            </w:pPr>
            <w:r>
              <w:rPr>
                <w:color w:val="000000"/>
                <w:sz w:val="20"/>
              </w:rPr>
              <w:t>490</w:t>
            </w:r>
          </w:p>
        </w:tc>
        <w:tc>
          <w:tcPr>
            <w:tcW w:w="136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61456E8A" w14:textId="77777777">
            <w:pPr>
              <w:suppressAutoHyphens/>
              <w:spacing w:line="252" w:lineRule="auto"/>
              <w:rPr>
                <w:rFonts w:ascii="Arial" w:hAnsi="Arial" w:cs="Arial"/>
                <w:sz w:val="36"/>
                <w:szCs w:val="36"/>
              </w:rPr>
            </w:pPr>
            <w:r>
              <w:rPr>
                <w:color w:val="000000"/>
                <w:sz w:val="20"/>
              </w:rPr>
              <w:t>109</w:t>
            </w:r>
          </w:p>
        </w:tc>
        <w:tc>
          <w:tcPr>
            <w:tcW w:w="152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3FAE7DE6" w14:textId="77777777">
            <w:pPr>
              <w:suppressAutoHyphens/>
              <w:spacing w:line="252" w:lineRule="auto"/>
              <w:rPr>
                <w:rFonts w:ascii="Arial" w:hAnsi="Arial" w:cs="Arial"/>
                <w:sz w:val="36"/>
                <w:szCs w:val="36"/>
              </w:rPr>
            </w:pPr>
            <w:r>
              <w:rPr>
                <w:color w:val="000000"/>
                <w:sz w:val="20"/>
              </w:rPr>
              <w:t>22</w:t>
            </w:r>
          </w:p>
        </w:tc>
      </w:tr>
      <w:tr w:rsidR="00131299" w:rsidTr="00946107" w14:paraId="0D7FE569" w14:textId="77777777">
        <w:trPr>
          <w:trHeight w:val="404"/>
        </w:trPr>
        <w:tc>
          <w:tcPr>
            <w:tcW w:w="1340" w:type="dxa"/>
            <w:tcBorders>
              <w:top w:val="nil"/>
              <w:left w:val="single" w:color="FFFFFF" w:sz="8" w:space="0"/>
              <w:bottom w:val="single" w:color="FFFFFF" w:sz="8" w:space="0"/>
              <w:right w:val="single" w:color="FFFFFF" w:sz="8" w:space="0"/>
            </w:tcBorders>
            <w:shd w:val="clear" w:color="auto" w:fill="831538"/>
            <w:tcMar>
              <w:top w:w="15" w:type="dxa"/>
              <w:left w:w="108" w:type="dxa"/>
              <w:bottom w:w="0" w:type="dxa"/>
              <w:right w:w="108" w:type="dxa"/>
            </w:tcMar>
            <w:hideMark/>
          </w:tcPr>
          <w:p w:rsidR="00946107" w:rsidP="000D6026" w:rsidRDefault="00000000" w14:paraId="1456E07D" w14:textId="77777777">
            <w:pPr>
              <w:suppressAutoHyphens/>
              <w:spacing w:line="252" w:lineRule="auto"/>
              <w:rPr>
                <w:rFonts w:ascii="Arial" w:hAnsi="Arial" w:cs="Arial"/>
                <w:sz w:val="36"/>
                <w:szCs w:val="36"/>
              </w:rPr>
            </w:pPr>
            <w:r>
              <w:rPr>
                <w:b/>
                <w:bCs/>
                <w:color w:val="FFFFFF"/>
                <w:sz w:val="20"/>
              </w:rPr>
              <w:t>2023</w:t>
            </w:r>
          </w:p>
        </w:tc>
        <w:tc>
          <w:tcPr>
            <w:tcW w:w="1520" w:type="dxa"/>
            <w:tcBorders>
              <w:top w:val="nil"/>
              <w:left w:val="nil"/>
              <w:bottom w:val="single" w:color="FFFFFF" w:sz="8" w:space="0"/>
              <w:right w:val="single" w:color="FFFFFF" w:sz="8" w:space="0"/>
            </w:tcBorders>
            <w:shd w:val="clear" w:color="auto" w:fill="EDE7E8"/>
            <w:tcMar>
              <w:top w:w="15" w:type="dxa"/>
              <w:left w:w="108" w:type="dxa"/>
              <w:bottom w:w="0" w:type="dxa"/>
              <w:right w:w="108" w:type="dxa"/>
            </w:tcMar>
            <w:hideMark/>
          </w:tcPr>
          <w:p w:rsidR="00946107" w:rsidP="000D6026" w:rsidRDefault="00000000" w14:paraId="63EEE942" w14:textId="77777777">
            <w:pPr>
              <w:suppressAutoHyphens/>
              <w:spacing w:line="252" w:lineRule="auto"/>
              <w:rPr>
                <w:rFonts w:ascii="Arial" w:hAnsi="Arial" w:cs="Arial"/>
                <w:sz w:val="36"/>
                <w:szCs w:val="36"/>
              </w:rPr>
            </w:pPr>
            <w:r>
              <w:rPr>
                <w:color w:val="000000"/>
                <w:sz w:val="20"/>
              </w:rPr>
              <w:t>414</w:t>
            </w:r>
          </w:p>
        </w:tc>
        <w:tc>
          <w:tcPr>
            <w:tcW w:w="1360" w:type="dxa"/>
            <w:tcBorders>
              <w:top w:val="nil"/>
              <w:left w:val="nil"/>
              <w:bottom w:val="single" w:color="FFFFFF" w:sz="8" w:space="0"/>
              <w:right w:val="single" w:color="FFFFFF" w:sz="8" w:space="0"/>
            </w:tcBorders>
            <w:shd w:val="clear" w:color="auto" w:fill="EDE7E8"/>
            <w:tcMar>
              <w:top w:w="15" w:type="dxa"/>
              <w:left w:w="108" w:type="dxa"/>
              <w:bottom w:w="0" w:type="dxa"/>
              <w:right w:w="108" w:type="dxa"/>
            </w:tcMar>
            <w:hideMark/>
          </w:tcPr>
          <w:p w:rsidR="00946107" w:rsidP="000D6026" w:rsidRDefault="00000000" w14:paraId="5F777E9D" w14:textId="77777777">
            <w:pPr>
              <w:suppressAutoHyphens/>
              <w:spacing w:line="252" w:lineRule="auto"/>
              <w:rPr>
                <w:rFonts w:ascii="Arial" w:hAnsi="Arial" w:cs="Arial"/>
                <w:sz w:val="36"/>
                <w:szCs w:val="36"/>
              </w:rPr>
            </w:pPr>
            <w:r>
              <w:rPr>
                <w:color w:val="000000"/>
                <w:sz w:val="20"/>
              </w:rPr>
              <w:t>62</w:t>
            </w:r>
          </w:p>
        </w:tc>
        <w:tc>
          <w:tcPr>
            <w:tcW w:w="1520" w:type="dxa"/>
            <w:tcBorders>
              <w:top w:val="nil"/>
              <w:left w:val="nil"/>
              <w:bottom w:val="single" w:color="FFFFFF" w:sz="8" w:space="0"/>
              <w:right w:val="single" w:color="FFFFFF" w:sz="8" w:space="0"/>
            </w:tcBorders>
            <w:shd w:val="clear" w:color="auto" w:fill="EDE7E8"/>
            <w:tcMar>
              <w:top w:w="15" w:type="dxa"/>
              <w:left w:w="108" w:type="dxa"/>
              <w:bottom w:w="0" w:type="dxa"/>
              <w:right w:w="108" w:type="dxa"/>
            </w:tcMar>
            <w:hideMark/>
          </w:tcPr>
          <w:p w:rsidR="00946107" w:rsidP="000D6026" w:rsidRDefault="00000000" w14:paraId="06412D9F" w14:textId="77777777">
            <w:pPr>
              <w:suppressAutoHyphens/>
              <w:spacing w:line="252" w:lineRule="auto"/>
              <w:rPr>
                <w:rFonts w:ascii="Arial" w:hAnsi="Arial" w:cs="Arial"/>
                <w:sz w:val="36"/>
                <w:szCs w:val="36"/>
              </w:rPr>
            </w:pPr>
            <w:r>
              <w:rPr>
                <w:color w:val="000000"/>
                <w:sz w:val="20"/>
              </w:rPr>
              <w:t>15</w:t>
            </w:r>
          </w:p>
        </w:tc>
      </w:tr>
      <w:tr w:rsidR="00131299" w:rsidTr="00946107" w14:paraId="0BFE35CE" w14:textId="77777777">
        <w:trPr>
          <w:trHeight w:val="404"/>
        </w:trPr>
        <w:tc>
          <w:tcPr>
            <w:tcW w:w="1340" w:type="dxa"/>
            <w:tcBorders>
              <w:top w:val="nil"/>
              <w:left w:val="single" w:color="FFFFFF" w:sz="8" w:space="0"/>
              <w:bottom w:val="single" w:color="FFFFFF" w:sz="8" w:space="0"/>
              <w:right w:val="single" w:color="FFFFFF" w:sz="8" w:space="0"/>
            </w:tcBorders>
            <w:shd w:val="clear" w:color="auto" w:fill="831538"/>
            <w:tcMar>
              <w:top w:w="15" w:type="dxa"/>
              <w:left w:w="108" w:type="dxa"/>
              <w:bottom w:w="0" w:type="dxa"/>
              <w:right w:w="108" w:type="dxa"/>
            </w:tcMar>
            <w:hideMark/>
          </w:tcPr>
          <w:p w:rsidR="00946107" w:rsidP="000D6026" w:rsidRDefault="00000000" w14:paraId="7E90ACE8" w14:textId="77777777">
            <w:pPr>
              <w:suppressAutoHyphens/>
              <w:spacing w:line="252" w:lineRule="auto"/>
              <w:rPr>
                <w:rFonts w:ascii="Arial" w:hAnsi="Arial" w:cs="Arial"/>
                <w:sz w:val="36"/>
                <w:szCs w:val="36"/>
              </w:rPr>
            </w:pPr>
            <w:r>
              <w:rPr>
                <w:b/>
                <w:bCs/>
                <w:color w:val="FFFFFF"/>
                <w:sz w:val="20"/>
              </w:rPr>
              <w:t>2024</w:t>
            </w:r>
          </w:p>
        </w:tc>
        <w:tc>
          <w:tcPr>
            <w:tcW w:w="152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0F46303A" w14:textId="77777777">
            <w:pPr>
              <w:suppressAutoHyphens/>
              <w:spacing w:line="252" w:lineRule="auto"/>
              <w:rPr>
                <w:rFonts w:ascii="Arial" w:hAnsi="Arial" w:cs="Arial"/>
                <w:sz w:val="36"/>
                <w:szCs w:val="36"/>
              </w:rPr>
            </w:pPr>
            <w:r>
              <w:rPr>
                <w:color w:val="000000"/>
                <w:sz w:val="20"/>
              </w:rPr>
              <w:t>70</w:t>
            </w:r>
          </w:p>
        </w:tc>
        <w:tc>
          <w:tcPr>
            <w:tcW w:w="136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12B4E2EF" w14:textId="77777777">
            <w:pPr>
              <w:suppressAutoHyphens/>
              <w:spacing w:line="252" w:lineRule="auto"/>
              <w:rPr>
                <w:rFonts w:ascii="Arial" w:hAnsi="Arial" w:cs="Arial"/>
                <w:sz w:val="36"/>
                <w:szCs w:val="36"/>
              </w:rPr>
            </w:pPr>
            <w:r>
              <w:rPr>
                <w:color w:val="000000"/>
                <w:sz w:val="20"/>
              </w:rPr>
              <w:t>7</w:t>
            </w:r>
          </w:p>
        </w:tc>
        <w:tc>
          <w:tcPr>
            <w:tcW w:w="1520" w:type="dxa"/>
            <w:tcBorders>
              <w:top w:val="nil"/>
              <w:left w:val="nil"/>
              <w:bottom w:val="single" w:color="FFFFFF" w:sz="8" w:space="0"/>
              <w:right w:val="single" w:color="FFFFFF" w:sz="8" w:space="0"/>
            </w:tcBorders>
            <w:shd w:val="clear" w:color="auto" w:fill="D9CCCE"/>
            <w:tcMar>
              <w:top w:w="15" w:type="dxa"/>
              <w:left w:w="108" w:type="dxa"/>
              <w:bottom w:w="0" w:type="dxa"/>
              <w:right w:w="108" w:type="dxa"/>
            </w:tcMar>
            <w:hideMark/>
          </w:tcPr>
          <w:p w:rsidR="00946107" w:rsidP="000D6026" w:rsidRDefault="00000000" w14:paraId="4072B7B3" w14:textId="77777777">
            <w:pPr>
              <w:suppressAutoHyphens/>
              <w:spacing w:line="252" w:lineRule="auto"/>
              <w:rPr>
                <w:rFonts w:ascii="Arial" w:hAnsi="Arial" w:cs="Arial"/>
                <w:sz w:val="36"/>
                <w:szCs w:val="36"/>
              </w:rPr>
            </w:pPr>
            <w:r>
              <w:rPr>
                <w:color w:val="000000"/>
                <w:sz w:val="20"/>
              </w:rPr>
              <w:t>10</w:t>
            </w:r>
          </w:p>
        </w:tc>
      </w:tr>
    </w:tbl>
    <w:p w:rsidRPr="00484C35" w:rsidR="00946107" w:rsidP="000D6026" w:rsidRDefault="00946107" w14:paraId="3262E944" w14:textId="77777777">
      <w:pPr>
        <w:suppressAutoHyphens/>
        <w:rPr>
          <w:rFonts w:ascii="Calibri" w:hAnsi="Calibri" w:cs="Calibri" w:eastAsiaTheme="minorHAnsi"/>
          <w:sz w:val="22"/>
          <w:szCs w:val="22"/>
          <w:lang w:eastAsia="en-US"/>
        </w:rPr>
      </w:pPr>
    </w:p>
    <w:p w:rsidRPr="00484C35" w:rsidR="00946107" w:rsidP="000D6026" w:rsidRDefault="00000000" w14:paraId="179BAFD8" w14:textId="77777777">
      <w:pPr>
        <w:suppressAutoHyphens/>
      </w:pPr>
      <w:r w:rsidRPr="00484C35">
        <w:t>Via een andere zoekmethode verkreeg de NVMO onderstaande cijfers, waaruit blijkt dat ook in ons omringende landen het aantal studies afneemt.</w:t>
      </w:r>
    </w:p>
    <w:p w:rsidR="00484C35" w:rsidP="000D6026" w:rsidRDefault="00484C35" w14:paraId="4AB5B8A6" w14:textId="77777777">
      <w:pPr>
        <w:suppressAutoHyphens/>
        <w:rPr>
          <w:color w:val="1F497D"/>
        </w:rPr>
      </w:pPr>
    </w:p>
    <w:p w:rsidR="00946107" w:rsidP="000D6026" w:rsidRDefault="00000000" w14:paraId="3879A793" w14:textId="77777777">
      <w:pPr>
        <w:suppressAutoHyphens/>
        <w:rPr>
          <w:color w:val="1F497D"/>
        </w:rPr>
      </w:pPr>
      <w:r>
        <w:rPr>
          <w:noProof/>
        </w:rPr>
        <w:drawing>
          <wp:inline distT="0" distB="0" distL="0" distR="0" wp14:anchorId="5C321D70" wp14:editId="09A02C81">
            <wp:extent cx="3898598" cy="987552"/>
            <wp:effectExtent l="0" t="0" r="6985" b="3175"/>
            <wp:docPr id="6" name="Afbeelding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image002"/>
                    <pic:cNvPicPr>
                      <a:picLocks noChangeAspect="1" noChangeArrowheads="1"/>
                    </pic:cNvPicPr>
                  </pic:nvPicPr>
                  <pic:blipFill>
                    <a:blip r:embed="rId11" r:link="rId12">
                      <a:extLst>
                        <a:ext uri="{28A0092B-C50C-407E-A947-70E740481C1C}">
                          <a14:useLocalDpi xmlns:a14="http://schemas.microsoft.com/office/drawing/2010/main" val="0"/>
                        </a:ext>
                      </a:extLst>
                    </a:blip>
                    <a:srcRect b="30602"/>
                    <a:stretch>
                      <a:fillRect/>
                    </a:stretch>
                  </pic:blipFill>
                  <pic:spPr bwMode="auto">
                    <a:xfrm>
                      <a:off x="0" y="0"/>
                      <a:ext cx="3924652" cy="994152"/>
                    </a:xfrm>
                    <a:prstGeom prst="rect">
                      <a:avLst/>
                    </a:prstGeom>
                    <a:noFill/>
                    <a:ln>
                      <a:noFill/>
                    </a:ln>
                    <a:extLst>
                      <a:ext uri="{53640926-AAD7-44D8-BBD7-CCE9431645EC}">
                        <a14:shadowObscured xmlns:a14="http://schemas.microsoft.com/office/drawing/2010/main"/>
                      </a:ext>
                    </a:extLst>
                  </pic:spPr>
                </pic:pic>
              </a:graphicData>
            </a:graphic>
          </wp:inline>
        </w:drawing>
      </w:r>
    </w:p>
    <w:p w:rsidR="001F43C3" w:rsidP="000D6026" w:rsidRDefault="001F43C3" w14:paraId="2E1E8221" w14:textId="77777777">
      <w:pPr>
        <w:suppressAutoHyphens/>
      </w:pPr>
    </w:p>
    <w:p w:rsidRPr="00484C35" w:rsidR="00946107" w:rsidP="000D6026" w:rsidRDefault="00000000" w14:paraId="6372E9A7" w14:textId="77777777">
      <w:pPr>
        <w:suppressAutoHyphens/>
      </w:pPr>
      <w:r w:rsidRPr="00484C35">
        <w:t>De NVMO geeft aan dat, als het al zo is dat het aantal studies afneemt, de oorzaak hiervan niet eenduidig</w:t>
      </w:r>
      <w:r>
        <w:t>,</w:t>
      </w:r>
      <w:r w:rsidRPr="00484C35">
        <w:t xml:space="preserve"> maar multifactorieel is</w:t>
      </w:r>
      <w:r w:rsidR="00BC51F4">
        <w:t xml:space="preserve">. Zo hangt de keuze van </w:t>
      </w:r>
      <w:r w:rsidR="00966ED1">
        <w:t>fabrikanten</w:t>
      </w:r>
      <w:r w:rsidR="00BC51F4">
        <w:t xml:space="preserve"> om klinische </w:t>
      </w:r>
      <w:r w:rsidR="001F43C3">
        <w:t>studies</w:t>
      </w:r>
      <w:r w:rsidR="00BC51F4">
        <w:t xml:space="preserve"> in een land uit te voeren onder andere af van de </w:t>
      </w:r>
      <w:r w:rsidRPr="00484C35">
        <w:t>vergoedingsprocedure</w:t>
      </w:r>
      <w:r>
        <w:t>s</w:t>
      </w:r>
      <w:r w:rsidRPr="00484C35">
        <w:t>, de criteria van de beroepsgroep zelf,</w:t>
      </w:r>
      <w:r w:rsidR="00BC51F4">
        <w:t xml:space="preserve"> de mogelijkheden om makkelijk en snel patiënten te </w:t>
      </w:r>
      <w:r w:rsidR="00565470">
        <w:t>betrekken</w:t>
      </w:r>
      <w:r w:rsidR="00BC51F4">
        <w:t xml:space="preserve"> en of deze patiënten al andere behandelingen ondergaan</w:t>
      </w:r>
      <w:r w:rsidR="002C0374">
        <w:t>,</w:t>
      </w:r>
      <w:r w:rsidR="00BC51F4">
        <w:t xml:space="preserve"> of aan andere klinische </w:t>
      </w:r>
      <w:r w:rsidR="001F43C3">
        <w:t>studies</w:t>
      </w:r>
      <w:r w:rsidR="00BC51F4">
        <w:t xml:space="preserve"> deelnemen. Daarnaast is sinds 2022 nieuwe Europese regelgeving van kracht betreffende klinische </w:t>
      </w:r>
      <w:r w:rsidR="001F43C3">
        <w:t>studies</w:t>
      </w:r>
      <w:r w:rsidR="00BC51F4">
        <w:t xml:space="preserve">, waarvan de implementatiefase een algemene dip in het aantal nieuwe </w:t>
      </w:r>
      <w:r w:rsidR="001F43C3">
        <w:t>studies</w:t>
      </w:r>
      <w:r w:rsidR="00BC51F4">
        <w:t xml:space="preserve"> in alle Europese landen heeft veroorzaakt.</w:t>
      </w:r>
      <w:r w:rsidR="00565470">
        <w:t xml:space="preserve"> D</w:t>
      </w:r>
      <w:r>
        <w:t xml:space="preserve">e NVMO wijst er </w:t>
      </w:r>
      <w:r w:rsidR="00565470">
        <w:t xml:space="preserve">tenslotte </w:t>
      </w:r>
      <w:r>
        <w:t xml:space="preserve">ook op </w:t>
      </w:r>
      <w:r w:rsidRPr="00484C35">
        <w:t xml:space="preserve">dat </w:t>
      </w:r>
      <w:r w:rsidR="00565470">
        <w:t xml:space="preserve">in </w:t>
      </w:r>
      <w:r w:rsidRPr="00484C35">
        <w:t xml:space="preserve">Nederland </w:t>
      </w:r>
      <w:r w:rsidR="00565470">
        <w:t xml:space="preserve">hoogwaardig </w:t>
      </w:r>
      <w:r w:rsidRPr="00565470">
        <w:rPr>
          <w:i/>
          <w:iCs/>
        </w:rPr>
        <w:t>investigato</w:t>
      </w:r>
      <w:r w:rsidRPr="00565470" w:rsidR="00565470">
        <w:rPr>
          <w:i/>
          <w:iCs/>
        </w:rPr>
        <w:t>r-</w:t>
      </w:r>
      <w:r w:rsidRPr="00565470">
        <w:rPr>
          <w:i/>
          <w:iCs/>
        </w:rPr>
        <w:t>initiated</w:t>
      </w:r>
      <w:r w:rsidRPr="00484C35">
        <w:t xml:space="preserve"> onderzoek </w:t>
      </w:r>
      <w:r w:rsidR="00565470">
        <w:t>plaatsvind</w:t>
      </w:r>
      <w:r w:rsidRPr="00484C35">
        <w:t>t</w:t>
      </w:r>
      <w:r>
        <w:t>.</w:t>
      </w:r>
    </w:p>
    <w:p w:rsidR="00946107" w:rsidP="000D6026" w:rsidRDefault="00946107" w14:paraId="4A7A9850" w14:textId="77777777">
      <w:pPr>
        <w:suppressAutoHyphens/>
      </w:pPr>
    </w:p>
    <w:sectPr w:rsidR="00946107" w:rsidSect="00D11661">
      <w:footerReference w:type="default" r:id="rId13"/>
      <w:headerReference w:type="first" r:id="rId14"/>
      <w:footerReference w:type="first" r:id="rId15"/>
      <w:pgSz w:w="11906" w:h="16838" w:code="9"/>
      <w:pgMar w:top="2268" w:right="2784" w:bottom="1134" w:left="1588" w:header="0" w:footer="142" w:gutter="0"/>
      <w:cols w:space="708"/>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98D4" w14:textId="77777777" w:rsidR="00E01216" w:rsidRDefault="00E01216">
      <w:pPr>
        <w:spacing w:line="240" w:lineRule="auto"/>
      </w:pPr>
      <w:r>
        <w:separator/>
      </w:r>
    </w:p>
  </w:endnote>
  <w:endnote w:type="continuationSeparator" w:id="0">
    <w:p w14:paraId="768DA380" w14:textId="77777777" w:rsidR="00E01216" w:rsidRDefault="00E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057B" w14:textId="77777777" w:rsidR="00D11661" w:rsidRDefault="00000000">
    <w:pPr>
      <w:pStyle w:val="Voettekst"/>
    </w:pPr>
    <w:r>
      <w:rPr>
        <w:noProof/>
      </w:rPr>
      <mc:AlternateContent>
        <mc:Choice Requires="wps">
          <w:drawing>
            <wp:anchor distT="0" distB="0" distL="114300" distR="114300" simplePos="0" relativeHeight="251656192" behindDoc="0" locked="0" layoutInCell="1" allowOverlap="1" wp14:anchorId="1479D498" wp14:editId="20DD8B5C">
              <wp:simplePos x="0" y="0"/>
              <wp:positionH relativeFrom="column">
                <wp:posOffset>4928870</wp:posOffset>
              </wp:positionH>
              <wp:positionV relativeFrom="paragraph">
                <wp:posOffset>-666115</wp:posOffset>
              </wp:positionV>
              <wp:extent cx="1263650" cy="342900"/>
              <wp:effectExtent l="3175" t="127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85AEE"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479D498" id="_x0000_t202" coordsize="21600,21600" o:spt="202" path="m,l,21600r21600,l21600,xe">
              <v:stroke joinstyle="miter"/>
              <v:path gradientshapeok="t" o:connecttype="rect"/>
            </v:shapetype>
            <v:shape id="Text Box 22" o:spid="_x0000_s1028" type="#_x0000_t202" style="position:absolute;margin-left:388.1pt;margin-top:-52.45pt;width:9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" stroked="f">
              <v:textbox inset="0,0,0,0">
                <w:txbxContent>
                  <w:p w14:paraId="5EE85AEE"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99E0" w14:textId="77777777" w:rsidR="00D11661" w:rsidRDefault="00000000">
    <w:pPr>
      <w:pStyle w:val="Voettekst"/>
    </w:pPr>
    <w:r>
      <w:rPr>
        <w:noProof/>
      </w:rPr>
      <mc:AlternateContent>
        <mc:Choice Requires="wps">
          <w:drawing>
            <wp:anchor distT="0" distB="0" distL="114300" distR="114300" simplePos="0" relativeHeight="251660288" behindDoc="0" locked="0" layoutInCell="1" allowOverlap="1" wp14:anchorId="6E380E7A" wp14:editId="77905827">
              <wp:simplePos x="0" y="0"/>
              <wp:positionH relativeFrom="column">
                <wp:posOffset>5233670</wp:posOffset>
              </wp:positionH>
              <wp:positionV relativeFrom="paragraph">
                <wp:posOffset>-657860</wp:posOffset>
              </wp:positionV>
              <wp:extent cx="1263650" cy="342900"/>
              <wp:effectExtent l="3175"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B805E"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E380E7A" id="_x0000_t202" coordsize="21600,21600" o:spt="202" path="m,l,21600r21600,l21600,xe">
              <v:stroke joinstyle="miter"/>
              <v:path gradientshapeok="t" o:connecttype="rect"/>
            </v:shapetype>
            <v:shape id="Text Box 24" o:spid="_x0000_s1029" type="#_x0000_t202" style="position:absolute;margin-left:412.1pt;margin-top:-51.8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" stroked="f">
              <v:textbox inset="0,0,0,0">
                <w:txbxContent>
                  <w:p w14:paraId="639B805E"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41E2" w14:textId="77777777" w:rsidR="00F860AE" w:rsidRDefault="00000000">
    <w:pPr>
      <w:pStyle w:val="Voettekst"/>
    </w:pPr>
    <w:r>
      <w:rPr>
        <w:noProof/>
      </w:rPr>
      <mc:AlternateContent>
        <mc:Choice Requires="wps">
          <w:drawing>
            <wp:anchor distT="0" distB="0" distL="114300" distR="114300" simplePos="0" relativeHeight="251658240" behindDoc="0" locked="0" layoutInCell="1" allowOverlap="1" wp14:anchorId="7792B77E" wp14:editId="52964932">
              <wp:simplePos x="0" y="0"/>
              <wp:positionH relativeFrom="column">
                <wp:posOffset>5081270</wp:posOffset>
              </wp:positionH>
              <wp:positionV relativeFrom="paragraph">
                <wp:posOffset>-513715</wp:posOffset>
              </wp:positionV>
              <wp:extent cx="1263650" cy="342900"/>
              <wp:effectExtent l="4445" t="635"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A288F"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792B77E" id="_x0000_t202" coordsize="21600,21600" o:spt="202" path="m,l,21600r21600,l21600,xe">
              <v:stroke joinstyle="miter"/>
              <v:path gradientshapeok="t" o:connecttype="rect"/>
            </v:shapetype>
            <v:shape id="Text Box 23" o:spid="_x0000_s1030" type="#_x0000_t202" style="position:absolute;margin-left:400.1pt;margin-top:-40.45pt;width: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" stroked="f">
              <v:textbox inset="0,0,0,0">
                <w:txbxContent>
                  <w:p w14:paraId="795A288F"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6E48" w14:textId="77777777" w:rsidR="00E01216" w:rsidRDefault="00E01216">
      <w:pPr>
        <w:spacing w:line="240" w:lineRule="auto"/>
      </w:pPr>
      <w:r>
        <w:separator/>
      </w:r>
    </w:p>
  </w:footnote>
  <w:footnote w:type="continuationSeparator" w:id="0">
    <w:p w14:paraId="76DEDC96" w14:textId="77777777" w:rsidR="00E01216" w:rsidRDefault="00E01216">
      <w:pPr>
        <w:spacing w:line="240" w:lineRule="auto"/>
      </w:pPr>
      <w:r>
        <w:continuationSeparator/>
      </w:r>
    </w:p>
  </w:footnote>
  <w:footnote w:id="1">
    <w:p w14:paraId="6A82D6B5" w14:textId="77777777" w:rsidR="00A1733D"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De Nederlandse Zorgautoriteit (NZa) </w:t>
      </w:r>
      <w:r w:rsidR="003C2021" w:rsidRPr="00565470">
        <w:rPr>
          <w:sz w:val="16"/>
          <w:szCs w:val="16"/>
        </w:rPr>
        <w:t>stelt da</w:t>
      </w:r>
      <w:r w:rsidRPr="00565470">
        <w:rPr>
          <w:sz w:val="16"/>
          <w:szCs w:val="16"/>
        </w:rPr>
        <w:t>t</w:t>
      </w:r>
      <w:r w:rsidR="003C2021" w:rsidRPr="00565470">
        <w:rPr>
          <w:sz w:val="16"/>
          <w:szCs w:val="16"/>
        </w:rPr>
        <w:t xml:space="preserve"> dit komt door een stijging van </w:t>
      </w:r>
      <w:r w:rsidR="003C2021" w:rsidRPr="00565470">
        <w:rPr>
          <w:i/>
          <w:iCs/>
          <w:sz w:val="16"/>
          <w:szCs w:val="16"/>
        </w:rPr>
        <w:t>prijzen</w:t>
      </w:r>
      <w:r w:rsidR="003C2021" w:rsidRPr="00565470">
        <w:rPr>
          <w:sz w:val="16"/>
          <w:szCs w:val="16"/>
        </w:rPr>
        <w:t xml:space="preserve"> (de p) van monopoliegeneesmiddelen, en niet door een stijging van het aantal patiënten (de q). Zie</w:t>
      </w:r>
      <w:r w:rsidR="00565470" w:rsidRPr="00565470">
        <w:rPr>
          <w:sz w:val="16"/>
          <w:szCs w:val="16"/>
        </w:rPr>
        <w:t xml:space="preserve"> </w:t>
      </w:r>
      <w:hyperlink r:id="rId1" w:history="1">
        <w:r w:rsidR="00565470" w:rsidRPr="00565470">
          <w:rPr>
            <w:rStyle w:val="Hyperlink"/>
            <w:sz w:val="16"/>
            <w:szCs w:val="16"/>
          </w:rPr>
          <w:t>https://puc.overheid.nl/nza/doc/PUC_749597_22/1/</w:t>
        </w:r>
      </w:hyperlink>
      <w:r w:rsidR="00565470" w:rsidRPr="00565470">
        <w:rPr>
          <w:sz w:val="16"/>
          <w:szCs w:val="16"/>
        </w:rPr>
        <w:t xml:space="preserve">. </w:t>
      </w:r>
      <w:r w:rsidR="003C2021" w:rsidRPr="00565470">
        <w:rPr>
          <w:sz w:val="16"/>
          <w:szCs w:val="16"/>
        </w:rPr>
        <w:t xml:space="preserve"> </w:t>
      </w:r>
      <w:r w:rsidR="00565470" w:rsidRPr="00565470">
        <w:rPr>
          <w:sz w:val="16"/>
          <w:szCs w:val="16"/>
        </w:rPr>
        <w:t xml:space="preserve"> </w:t>
      </w:r>
      <w:r w:rsidRPr="00565470">
        <w:rPr>
          <w:sz w:val="16"/>
          <w:szCs w:val="16"/>
        </w:rPr>
        <w:t xml:space="preserve">  </w:t>
      </w:r>
    </w:p>
  </w:footnote>
  <w:footnote w:id="2">
    <w:p w14:paraId="3873CBE6" w14:textId="77777777" w:rsidR="003C2021"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Zie voor een nadere uitleg over de routes naar vergoeding </w:t>
      </w:r>
      <w:r w:rsidR="00B75AA8" w:rsidRPr="00565470">
        <w:rPr>
          <w:sz w:val="16"/>
          <w:szCs w:val="16"/>
        </w:rPr>
        <w:t xml:space="preserve">Kamerstukken </w:t>
      </w:r>
      <w:r w:rsidR="00565470" w:rsidRPr="00565470">
        <w:rPr>
          <w:sz w:val="16"/>
          <w:szCs w:val="16"/>
        </w:rPr>
        <w:t>29477, nr. 752,</w:t>
      </w:r>
      <w:r w:rsidR="00B75AA8" w:rsidRPr="00565470">
        <w:rPr>
          <w:sz w:val="16"/>
          <w:szCs w:val="16"/>
        </w:rPr>
        <w:t xml:space="preserve"> en </w:t>
      </w:r>
      <w:r w:rsidRPr="00565470">
        <w:rPr>
          <w:sz w:val="16"/>
          <w:szCs w:val="16"/>
        </w:rPr>
        <w:t xml:space="preserve">mijn recente </w:t>
      </w:r>
      <w:r w:rsidR="00565470" w:rsidRPr="00565470">
        <w:rPr>
          <w:sz w:val="16"/>
          <w:szCs w:val="16"/>
        </w:rPr>
        <w:t>Voortgangsbrief pakketbeheer van dure geneesmiddelen (Kamerstukken 29477, nr.</w:t>
      </w:r>
      <w:r w:rsidRPr="00565470">
        <w:rPr>
          <w:sz w:val="16"/>
          <w:szCs w:val="16"/>
        </w:rPr>
        <w:t xml:space="preserve"> </w:t>
      </w:r>
      <w:r w:rsidR="00565470" w:rsidRPr="00565470">
        <w:rPr>
          <w:sz w:val="16"/>
          <w:szCs w:val="16"/>
        </w:rPr>
        <w:t>883</w:t>
      </w:r>
      <w:r w:rsidR="006E3501">
        <w:rPr>
          <w:sz w:val="16"/>
          <w:szCs w:val="16"/>
        </w:rPr>
        <w:t>)</w:t>
      </w:r>
      <w:r w:rsidR="00565470" w:rsidRPr="00565470">
        <w:rPr>
          <w:sz w:val="16"/>
          <w:szCs w:val="16"/>
        </w:rPr>
        <w:t>.</w:t>
      </w:r>
    </w:p>
  </w:footnote>
  <w:footnote w:id="3">
    <w:p w14:paraId="4D6210D8" w14:textId="77777777" w:rsidR="00F352F9"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w:t>
      </w:r>
      <w:hyperlink r:id="rId2" w:history="1">
        <w:r w:rsidRPr="00565470">
          <w:rPr>
            <w:rStyle w:val="Hyperlink"/>
            <w:sz w:val="16"/>
            <w:szCs w:val="16"/>
          </w:rPr>
          <w:t>https://www.uu.nl/nieuws/veel-nieuwe-kankermedicijnen-in-de-eu-hebben-geen-bewezen-toegevoegde-waarde</w:t>
        </w:r>
      </w:hyperlink>
      <w:r w:rsidRPr="00565470">
        <w:rPr>
          <w:sz w:val="16"/>
          <w:szCs w:val="16"/>
        </w:rPr>
        <w:t xml:space="preserve">. </w:t>
      </w:r>
    </w:p>
  </w:footnote>
  <w:footnote w:id="4">
    <w:p w14:paraId="462D0396" w14:textId="77777777" w:rsidR="00C66144" w:rsidRPr="00565470" w:rsidRDefault="00000000" w:rsidP="00C66144">
      <w:pPr>
        <w:pStyle w:val="Voetnoottekst"/>
        <w:contextualSpacing/>
        <w:rPr>
          <w:sz w:val="16"/>
          <w:szCs w:val="16"/>
        </w:rPr>
      </w:pPr>
      <w:r w:rsidRPr="00565470">
        <w:rPr>
          <w:rStyle w:val="Voetnootmarkering"/>
          <w:sz w:val="16"/>
          <w:szCs w:val="16"/>
        </w:rPr>
        <w:footnoteRef/>
      </w:r>
      <w:r w:rsidRPr="00565470">
        <w:rPr>
          <w:sz w:val="16"/>
          <w:szCs w:val="16"/>
        </w:rPr>
        <w:t xml:space="preserve"> Met dure geneesmiddelen bedoel ik hier geneesmiddelen die minstens 1000 euro per patiënt per jaar kosten en waarvoor, voor vergoeding, door de NZa een zogeheten Add-on status moet worden toegekend.</w:t>
      </w:r>
    </w:p>
  </w:footnote>
  <w:footnote w:id="5">
    <w:p w14:paraId="47EF7885" w14:textId="77777777" w:rsidR="00565470"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Bij de vroege behandeling kan een middel adjuvant gegeven worden: nadat de tumor operatief verwijderd is, of neoadjuvant: voordat de tumor operatief verwijderd wordt.</w:t>
      </w:r>
    </w:p>
  </w:footnote>
  <w:footnote w:id="6">
    <w:p w14:paraId="48EF56CA" w14:textId="77777777" w:rsidR="00281100" w:rsidRPr="00565470" w:rsidRDefault="00000000" w:rsidP="00281100">
      <w:pPr>
        <w:pStyle w:val="Voetnoottekst"/>
        <w:contextualSpacing/>
        <w:rPr>
          <w:sz w:val="16"/>
          <w:szCs w:val="16"/>
        </w:rPr>
      </w:pPr>
      <w:r w:rsidRPr="00565470">
        <w:rPr>
          <w:rStyle w:val="Voetnootmarkering"/>
          <w:sz w:val="16"/>
          <w:szCs w:val="16"/>
        </w:rPr>
        <w:footnoteRef/>
      </w:r>
      <w:r w:rsidRPr="00565470">
        <w:rPr>
          <w:sz w:val="16"/>
          <w:szCs w:val="16"/>
        </w:rPr>
        <w:t xml:space="preserve"> </w:t>
      </w:r>
      <w:hyperlink r:id="rId3" w:history="1">
        <w:r w:rsidRPr="00565470">
          <w:rPr>
            <w:rStyle w:val="Hyperlink"/>
            <w:color w:val="auto"/>
            <w:sz w:val="16"/>
            <w:szCs w:val="16"/>
          </w:rPr>
          <w:t>ZN-SP-2023-006-Pembro-TNBC.pdf</w:t>
        </w:r>
      </w:hyperlink>
      <w:r w:rsidRPr="00565470">
        <w:rPr>
          <w:sz w:val="16"/>
          <w:szCs w:val="16"/>
        </w:rPr>
        <w:t>.</w:t>
      </w:r>
    </w:p>
  </w:footnote>
  <w:footnote w:id="7">
    <w:p w14:paraId="20E1605F" w14:textId="77777777" w:rsidR="00281100" w:rsidRPr="00565470" w:rsidRDefault="00000000" w:rsidP="00281100">
      <w:pPr>
        <w:pStyle w:val="Voetnoottekst"/>
        <w:contextualSpacing/>
        <w:rPr>
          <w:sz w:val="16"/>
          <w:szCs w:val="16"/>
        </w:rPr>
      </w:pPr>
      <w:r w:rsidRPr="00565470">
        <w:rPr>
          <w:rStyle w:val="Voetnootmarkering"/>
          <w:sz w:val="16"/>
          <w:szCs w:val="16"/>
        </w:rPr>
        <w:footnoteRef/>
      </w:r>
      <w:r w:rsidRPr="00565470">
        <w:rPr>
          <w:sz w:val="16"/>
          <w:szCs w:val="16"/>
        </w:rPr>
        <w:t xml:space="preserve"> </w:t>
      </w:r>
      <w:hyperlink r:id="rId4" w:history="1">
        <w:r w:rsidRPr="00565470">
          <w:rPr>
            <w:rStyle w:val="Hyperlink"/>
            <w:color w:val="auto"/>
            <w:sz w:val="16"/>
            <w:szCs w:val="16"/>
          </w:rPr>
          <w:t>https://www.zorginstituutnederland.nl/werkagenda/kanker/pakketadvies-specialistisch-geneesmiddel-pembrolizumab-keytruda-voor-de-behandeling-van-borstkanker</w:t>
        </w:r>
      </w:hyperlink>
      <w:r w:rsidRPr="00565470">
        <w:rPr>
          <w:sz w:val="16"/>
          <w:szCs w:val="16"/>
        </w:rPr>
        <w:t xml:space="preserve">. </w:t>
      </w:r>
    </w:p>
  </w:footnote>
  <w:footnote w:id="8">
    <w:p w14:paraId="013ADFF4" w14:textId="77777777" w:rsidR="003C0D2F" w:rsidRPr="00565470" w:rsidRDefault="00000000" w:rsidP="00281100">
      <w:pPr>
        <w:pStyle w:val="Voetnoottekst"/>
        <w:contextualSpacing/>
        <w:rPr>
          <w:sz w:val="16"/>
          <w:szCs w:val="16"/>
        </w:rPr>
      </w:pPr>
      <w:r w:rsidRPr="00565470">
        <w:rPr>
          <w:rStyle w:val="Voetnootmarkering"/>
          <w:sz w:val="16"/>
          <w:szCs w:val="16"/>
        </w:rPr>
        <w:footnoteRef/>
      </w:r>
      <w:r w:rsidRPr="00565470">
        <w:rPr>
          <w:sz w:val="16"/>
          <w:szCs w:val="16"/>
        </w:rPr>
        <w:t xml:space="preserve"> </w:t>
      </w:r>
      <w:hyperlink r:id="rId5" w:history="1">
        <w:r w:rsidR="00613DDA" w:rsidRPr="00565470">
          <w:rPr>
            <w:rStyle w:val="Hyperlink"/>
            <w:sz w:val="16"/>
            <w:szCs w:val="16"/>
          </w:rPr>
          <w:t>https://puc.overheid.nl/nza/doc/PUC_704644_22/1/</w:t>
        </w:r>
      </w:hyperlink>
      <w:r w:rsidR="00613DDA" w:rsidRPr="00565470">
        <w:rPr>
          <w:sz w:val="16"/>
          <w:szCs w:val="16"/>
        </w:rPr>
        <w:t xml:space="preserve">. </w:t>
      </w:r>
    </w:p>
  </w:footnote>
  <w:footnote w:id="9">
    <w:p w14:paraId="4AAE3309" w14:textId="77777777" w:rsidR="007206CF"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w:t>
      </w:r>
      <w:hyperlink r:id="rId6" w:history="1">
        <w:r w:rsidRPr="00565470">
          <w:rPr>
            <w:rStyle w:val="Hyperlink"/>
            <w:sz w:val="16"/>
            <w:szCs w:val="16"/>
          </w:rPr>
          <w:t>https://www.zn.nl/dossier/dure-geneesmiddelen/ciebag/</w:t>
        </w:r>
      </w:hyperlink>
      <w:r w:rsidRPr="00565470">
        <w:rPr>
          <w:sz w:val="16"/>
          <w:szCs w:val="16"/>
        </w:rPr>
        <w:t xml:space="preserve">. </w:t>
      </w:r>
    </w:p>
  </w:footnote>
  <w:footnote w:id="10">
    <w:p w14:paraId="17E8BE3C" w14:textId="77777777" w:rsidR="00613DDA"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Zie Kamerstukken</w:t>
      </w:r>
      <w:r w:rsidR="00010230" w:rsidRPr="00565470">
        <w:rPr>
          <w:sz w:val="16"/>
          <w:szCs w:val="16"/>
        </w:rPr>
        <w:t xml:space="preserve"> </w:t>
      </w:r>
      <w:r w:rsidR="00957CF0" w:rsidRPr="00565470">
        <w:rPr>
          <w:sz w:val="16"/>
          <w:szCs w:val="16"/>
        </w:rPr>
        <w:t>29477, nr. 869.</w:t>
      </w:r>
    </w:p>
  </w:footnote>
  <w:footnote w:id="11">
    <w:p w14:paraId="56D6BA32" w14:textId="77777777" w:rsidR="00BF7E0A"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Zie Kamerstukken 29477, nr. 883</w:t>
      </w:r>
      <w:r w:rsidR="00565470" w:rsidRPr="00565470">
        <w:rPr>
          <w:sz w:val="16"/>
          <w:szCs w:val="16"/>
        </w:rPr>
        <w:t>.</w:t>
      </w:r>
    </w:p>
  </w:footnote>
  <w:footnote w:id="12">
    <w:p w14:paraId="06B1E510" w14:textId="77777777" w:rsidR="00BF7E0A"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Zie Kamerstukken 29477, nr. 883</w:t>
      </w:r>
      <w:r w:rsidR="00565470" w:rsidRPr="00565470">
        <w:rPr>
          <w:sz w:val="16"/>
          <w:szCs w:val="16"/>
        </w:rPr>
        <w:t>.</w:t>
      </w:r>
    </w:p>
  </w:footnote>
  <w:footnote w:id="13">
    <w:p w14:paraId="71AD4291" w14:textId="77777777" w:rsidR="003A3BE0"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Zie Kamerstukken 29477, nr. 862.</w:t>
      </w:r>
    </w:p>
  </w:footnote>
  <w:footnote w:id="14">
    <w:p w14:paraId="1EDFB7E1" w14:textId="77777777" w:rsidR="00565470" w:rsidRPr="00565470" w:rsidRDefault="00000000">
      <w:pPr>
        <w:pStyle w:val="Voetnoottekst"/>
        <w:rPr>
          <w:sz w:val="16"/>
          <w:szCs w:val="16"/>
        </w:rPr>
      </w:pPr>
      <w:r w:rsidRPr="00565470">
        <w:rPr>
          <w:rStyle w:val="Voetnootmarkering"/>
          <w:sz w:val="16"/>
          <w:szCs w:val="16"/>
        </w:rPr>
        <w:footnoteRef/>
      </w:r>
      <w:r w:rsidRPr="00565470">
        <w:rPr>
          <w:sz w:val="16"/>
          <w:szCs w:val="16"/>
        </w:rPr>
        <w:t xml:space="preserve"> Zie nogmaals Kamerstukken 29477, nr. 752.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F38E" w14:textId="77777777" w:rsidR="00F860AE" w:rsidRDefault="00000000" w:rsidP="009071A4">
    <w:pPr>
      <w:pStyle w:val="Koptekst"/>
      <w:tabs>
        <w:tab w:val="clear" w:pos="4320"/>
        <w:tab w:val="clear" w:pos="8640"/>
      </w:tabs>
      <w:spacing w:after="2879"/>
    </w:pPr>
    <w:r w:rsidRPr="002A273F">
      <w:rPr>
        <w:noProof/>
      </w:rPr>
      <mc:AlternateContent>
        <mc:Choice Requires="wps">
          <w:drawing>
            <wp:anchor distT="0" distB="0" distL="114300" distR="114300" simplePos="0" relativeHeight="251655168" behindDoc="0" locked="0" layoutInCell="1" allowOverlap="1" wp14:anchorId="479FDAE9" wp14:editId="5A9DE759">
              <wp:simplePos x="0" y="0"/>
              <wp:positionH relativeFrom="margin">
                <wp:posOffset>4928870</wp:posOffset>
              </wp:positionH>
              <wp:positionV relativeFrom="paragraph">
                <wp:posOffset>1980565</wp:posOffset>
              </wp:positionV>
              <wp:extent cx="1263650" cy="8352155"/>
              <wp:effectExtent l="3175" t="0" r="0" b="190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61A08" w14:textId="77777777" w:rsidR="00F860AE" w:rsidRPr="00B6471C" w:rsidRDefault="00F860AE" w:rsidP="00F01F8C">
                          <w:pPr>
                            <w:pStyle w:val="Afzendgegevenskopje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79FDAE9" id="_x0000_t202" coordsize="21600,21600" o:spt="202" path="m,l,21600r21600,l21600,xe">
              <v:stroke joinstyle="miter"/>
              <v:path gradientshapeok="t" o:connecttype="rect"/>
            </v:shapetype>
            <v:shape id="Text Box 12" o:spid="_x0000_s1026" type="#_x0000_t202" style="position:absolute;margin-left:388.1pt;margin-top:155.95pt;width:99.5pt;height:65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" stroked="f">
              <v:textbox inset="0,0,0,0">
                <w:txbxContent>
                  <w:p w14:paraId="4FE61A08" w14:textId="77777777" w:rsidR="00F860AE" w:rsidRPr="00B6471C" w:rsidRDefault="00F860AE" w:rsidP="00F01F8C">
                    <w:pPr>
                      <w:pStyle w:val="Afzendgegevenskopjes"/>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C2BA" w14:textId="77777777" w:rsidR="00F860AE" w:rsidRDefault="00000000">
    <w:pPr>
      <w:pStyle w:val="Koptekst"/>
    </w:pPr>
    <w:r>
      <w:rPr>
        <w:noProof/>
      </w:rPr>
      <w:drawing>
        <wp:anchor distT="0" distB="0" distL="114300" distR="114300" simplePos="0" relativeHeight="251657216" behindDoc="0" locked="0" layoutInCell="1" allowOverlap="1" wp14:anchorId="76C11ED7" wp14:editId="69C91251">
          <wp:simplePos x="0" y="0"/>
          <wp:positionH relativeFrom="page">
            <wp:posOffset>4032250</wp:posOffset>
          </wp:positionH>
          <wp:positionV relativeFrom="page">
            <wp:posOffset>0</wp:posOffset>
          </wp:positionV>
          <wp:extent cx="2343150" cy="1581150"/>
          <wp:effectExtent l="0" t="0" r="0" b="0"/>
          <wp:wrapNone/>
          <wp:docPr id="30"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17" descr="RO_VW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222D9" w14:textId="77777777" w:rsidR="00F860AE" w:rsidRDefault="00000000">
    <w:pPr>
      <w:pStyle w:val="Koptekst"/>
    </w:pPr>
    <w:r w:rsidRPr="002A273F">
      <w:rPr>
        <w:noProof/>
      </w:rPr>
      <mc:AlternateContent>
        <mc:Choice Requires="wps">
          <w:drawing>
            <wp:anchor distT="0" distB="0" distL="114300" distR="114300" simplePos="0" relativeHeight="251659264" behindDoc="0" locked="0" layoutInCell="1" allowOverlap="1" wp14:anchorId="61D0A323" wp14:editId="1C0F5D45">
              <wp:simplePos x="0" y="0"/>
              <wp:positionH relativeFrom="margin">
                <wp:posOffset>4928870</wp:posOffset>
              </wp:positionH>
              <wp:positionV relativeFrom="paragraph">
                <wp:posOffset>1289050</wp:posOffset>
              </wp:positionV>
              <wp:extent cx="1263650" cy="8392160"/>
              <wp:effectExtent l="3175" t="3175" r="0" b="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785B" w14:textId="77777777" w:rsidR="00F860AE" w:rsidRDefault="00000000" w:rsidP="00A97BB8">
                          <w:pPr>
                            <w:pStyle w:val="Afzendgegevens"/>
                          </w:pPr>
                          <w:r>
                            <w:t>Bezoekadres:</w:t>
                          </w:r>
                        </w:p>
                        <w:p w14:paraId="23D4F0EF" w14:textId="77777777" w:rsidR="00F860AE" w:rsidRDefault="00000000" w:rsidP="00A97BB8">
                          <w:pPr>
                            <w:pStyle w:val="Afzendgegevens"/>
                          </w:pPr>
                          <w:r>
                            <w:t>Parnassusplein 5</w:t>
                          </w:r>
                        </w:p>
                        <w:p w14:paraId="3B2BCB4E" w14:textId="77777777" w:rsidR="00F860AE" w:rsidRDefault="00000000" w:rsidP="00A97BB8">
                          <w:pPr>
                            <w:pStyle w:val="Afzendgegevens"/>
                          </w:pPr>
                          <w:r>
                            <w:t>251</w:t>
                          </w:r>
                          <w:r w:rsidR="00375EAB">
                            <w:t>1</w:t>
                          </w:r>
                          <w:r>
                            <w:t xml:space="preserve"> </w:t>
                          </w:r>
                          <w:r w:rsidR="00375EAB">
                            <w:t>VX</w:t>
                          </w:r>
                          <w:r>
                            <w:t xml:space="preserve"> </w:t>
                          </w:r>
                          <w:r w:rsidR="009A0B66">
                            <w:t xml:space="preserve"> </w:t>
                          </w:r>
                          <w:r w:rsidR="00375EAB">
                            <w:t>Den Haag</w:t>
                          </w:r>
                        </w:p>
                        <w:p w14:paraId="1A2337F2" w14:textId="77777777" w:rsidR="00F860AE" w:rsidRDefault="00000000" w:rsidP="00A97BB8">
                          <w:pPr>
                            <w:pStyle w:val="Afzendgegevens"/>
                            <w:tabs>
                              <w:tab w:val="left" w:pos="170"/>
                            </w:tabs>
                          </w:pPr>
                          <w:r>
                            <w:t>T</w:t>
                          </w:r>
                          <w:r>
                            <w:tab/>
                            <w:t>070 340 79 11</w:t>
                          </w:r>
                        </w:p>
                        <w:p w14:paraId="5425F2C3" w14:textId="77777777" w:rsidR="00F860AE" w:rsidRDefault="00000000" w:rsidP="00A97BB8">
                          <w:pPr>
                            <w:pStyle w:val="Afzendgegevens"/>
                            <w:tabs>
                              <w:tab w:val="left" w:pos="170"/>
                            </w:tabs>
                          </w:pPr>
                          <w:r>
                            <w:t>F</w:t>
                          </w:r>
                          <w:r>
                            <w:tab/>
                            <w:t>070 340 78 34</w:t>
                          </w:r>
                        </w:p>
                        <w:p w14:paraId="5F8FC2D7" w14:textId="4A07A009" w:rsidR="00F860AE" w:rsidRDefault="00000000" w:rsidP="000D6026">
                          <w:pPr>
                            <w:pStyle w:val="Afzendgegevens"/>
                          </w:pPr>
                          <w:hyperlink r:id="rId2" w:history="1">
                            <w:r w:rsidR="000D6026" w:rsidRPr="00191FA7">
                              <w:rPr>
                                <w:rStyle w:val="Hyperlink"/>
                              </w:rPr>
                              <w:t>www.rijksoverheid.nl</w:t>
                            </w:r>
                          </w:hyperlink>
                        </w:p>
                        <w:p w14:paraId="2E31BC87" w14:textId="77777777" w:rsidR="000D6026" w:rsidRDefault="000D6026" w:rsidP="000D6026">
                          <w:pPr>
                            <w:pStyle w:val="Afzendgegevens"/>
                          </w:pPr>
                        </w:p>
                        <w:p w14:paraId="45746136" w14:textId="77777777" w:rsidR="000D6026" w:rsidRDefault="000D6026" w:rsidP="000D6026">
                          <w:pPr>
                            <w:pStyle w:val="Afzendgegevens"/>
                          </w:pPr>
                        </w:p>
                        <w:p w14:paraId="2932A892" w14:textId="77777777" w:rsidR="00F860AE" w:rsidRDefault="00000000" w:rsidP="00A97BB8">
                          <w:pPr>
                            <w:pStyle w:val="Afzendgegevenskopjes"/>
                          </w:pPr>
                          <w:r>
                            <w:t>Ons kenmerk</w:t>
                          </w:r>
                        </w:p>
                        <w:p w14:paraId="30761A1E" w14:textId="1CC2337B" w:rsidR="00F860AE" w:rsidRDefault="00000000" w:rsidP="000D6026">
                          <w:pPr>
                            <w:pStyle w:val="Huisstijl-Referentiegegevens"/>
                          </w:pPr>
                          <w:r>
                            <w:t>3798231-1063779-GMT</w:t>
                          </w:r>
                        </w:p>
                        <w:p w14:paraId="15501E6A" w14:textId="77777777" w:rsidR="000D6026" w:rsidRDefault="000D6026" w:rsidP="000D6026">
                          <w:pPr>
                            <w:pStyle w:val="Huisstijl-Referentiegegevens"/>
                          </w:pPr>
                        </w:p>
                        <w:p w14:paraId="3DD4B4C9" w14:textId="77777777" w:rsidR="00F860AE" w:rsidRDefault="00000000" w:rsidP="00A97BB8">
                          <w:pPr>
                            <w:pStyle w:val="Afzendgegevenskopjes"/>
                          </w:pPr>
                          <w:r>
                            <w:t>Bijlagen</w:t>
                          </w:r>
                        </w:p>
                        <w:p w14:paraId="5288660D" w14:textId="55BFEC18" w:rsidR="000D6026" w:rsidRDefault="00000000" w:rsidP="000D6026">
                          <w:pPr>
                            <w:pStyle w:val="Afzendgegevens"/>
                          </w:pPr>
                          <w:bookmarkStart w:id="3" w:name="bmkBijlagen"/>
                          <w:bookmarkEnd w:id="3"/>
                          <w:r>
                            <w:t>1</w:t>
                          </w:r>
                        </w:p>
                        <w:p w14:paraId="1778D863" w14:textId="77777777" w:rsidR="000D6026" w:rsidRDefault="000D6026" w:rsidP="000D6026">
                          <w:pPr>
                            <w:pStyle w:val="Afzendgegevens"/>
                          </w:pPr>
                        </w:p>
                        <w:p w14:paraId="79280DE1" w14:textId="77777777" w:rsidR="00F860AE" w:rsidRDefault="00000000" w:rsidP="00A97BB8">
                          <w:pPr>
                            <w:pStyle w:val="Afzendgegevenskopjes"/>
                          </w:pPr>
                          <w:r>
                            <w:t>Datum document</w:t>
                          </w:r>
                        </w:p>
                        <w:p w14:paraId="10A95EE3" w14:textId="77777777" w:rsidR="00D74EDF" w:rsidRPr="00D74EDF" w:rsidRDefault="00000000" w:rsidP="00D74EDF">
                          <w:pPr>
                            <w:spacing w:line="180" w:lineRule="atLeast"/>
                            <w:rPr>
                              <w:rFonts w:eastAsia="SimSun"/>
                              <w:sz w:val="13"/>
                            </w:rPr>
                          </w:pPr>
                          <w:bookmarkStart w:id="4" w:name="bmkUwBrief"/>
                          <w:bookmarkEnd w:id="4"/>
                          <w:r>
                            <w:rPr>
                              <w:rFonts w:eastAsia="SimSun"/>
                              <w:sz w:val="13"/>
                              <w:szCs w:val="13"/>
                            </w:rPr>
                            <w:t>27 maart 2024</w:t>
                          </w:r>
                        </w:p>
                        <w:p w14:paraId="56E82811" w14:textId="77777777" w:rsidR="000D6026" w:rsidRDefault="000D6026" w:rsidP="00A97BB8">
                          <w:pPr>
                            <w:pStyle w:val="Afzendgegevens"/>
                            <w:rPr>
                              <w:i/>
                            </w:rPr>
                          </w:pPr>
                        </w:p>
                        <w:p w14:paraId="35F17A96" w14:textId="77777777" w:rsidR="000D6026" w:rsidRDefault="000D6026" w:rsidP="00A97BB8">
                          <w:pPr>
                            <w:pStyle w:val="Afzendgegevens"/>
                            <w:rPr>
                              <w:i/>
                            </w:rPr>
                          </w:pPr>
                        </w:p>
                        <w:p w14:paraId="5CEF5E1A" w14:textId="77777777" w:rsidR="000D6026" w:rsidRDefault="000D6026" w:rsidP="00A97BB8">
                          <w:pPr>
                            <w:pStyle w:val="Afzendgegevens"/>
                            <w:rPr>
                              <w:i/>
                            </w:rPr>
                          </w:pPr>
                        </w:p>
                        <w:p w14:paraId="2BCB3731" w14:textId="0BF8A570" w:rsidR="00F860AE" w:rsidRPr="00C45528" w:rsidRDefault="00000000" w:rsidP="00A97BB8">
                          <w:pPr>
                            <w:pStyle w:val="Afzendgegevens"/>
                            <w:rPr>
                              <w:i/>
                            </w:rPr>
                          </w:pPr>
                          <w:r>
                            <w:rPr>
                              <w:i/>
                            </w:rPr>
                            <w:t>Correspondentie uitsluitend richten aan het retouradres met vermelding van de datum en het kenmerk van deze brief.</w:t>
                          </w:r>
                        </w:p>
                      </w:txbxContent>
                    </wps:txbx>
                    <wps:bodyPr rot="0" vert="horz" wrap="square" lIns="0" tIns="540000" rIns="0" bIns="0" anchor="t" anchorCtr="0" upright="1"/>
                  </wps:wsp>
                </a:graphicData>
              </a:graphic>
              <wp14:sizeRelH relativeFrom="page">
                <wp14:pctWidth>0</wp14:pctWidth>
              </wp14:sizeRelH>
              <wp14:sizeRelV relativeFrom="page">
                <wp14:pctHeight>0</wp14:pctHeight>
              </wp14:sizeRelV>
            </wp:anchor>
          </w:drawing>
        </mc:Choice>
        <mc:Fallback>
          <w:pict>
            <v:shapetype w14:anchorId="61D0A323" id="_x0000_t202" coordsize="21600,21600" o:spt="202" path="m,l,21600r21600,l21600,xe">
              <v:stroke joinstyle="miter"/>
              <v:path gradientshapeok="t" o:connecttype="rect"/>
            </v:shapetype>
            <v:shape id="Text Box 19" o:spid="_x0000_s1027" type="#_x0000_t202" style="position:absolute;margin-left:388.1pt;margin-top:101.5pt;width:99.5pt;height:6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" filled="f" stroked="f">
              <v:textbox inset="0,15mm,0,0">
                <w:txbxContent>
                  <w:p w14:paraId="07CB785B" w14:textId="77777777" w:rsidR="00F860AE" w:rsidRDefault="00000000" w:rsidP="00A97BB8">
                    <w:pPr>
                      <w:pStyle w:val="Afzendgegevens"/>
                    </w:pPr>
                    <w:r>
                      <w:t>Bezoekadres:</w:t>
                    </w:r>
                  </w:p>
                  <w:p w14:paraId="23D4F0EF" w14:textId="77777777" w:rsidR="00F860AE" w:rsidRDefault="00000000" w:rsidP="00A97BB8">
                    <w:pPr>
                      <w:pStyle w:val="Afzendgegevens"/>
                    </w:pPr>
                    <w:r>
                      <w:t>Parnassusplein 5</w:t>
                    </w:r>
                  </w:p>
                  <w:p w14:paraId="3B2BCB4E" w14:textId="77777777" w:rsidR="00F860AE" w:rsidRDefault="00000000" w:rsidP="00A97BB8">
                    <w:pPr>
                      <w:pStyle w:val="Afzendgegevens"/>
                    </w:pPr>
                    <w:r>
                      <w:t>251</w:t>
                    </w:r>
                    <w:r w:rsidR="00375EAB">
                      <w:t>1</w:t>
                    </w:r>
                    <w:r>
                      <w:t xml:space="preserve"> </w:t>
                    </w:r>
                    <w:r w:rsidR="00375EAB">
                      <w:t>VX</w:t>
                    </w:r>
                    <w:r>
                      <w:t xml:space="preserve"> </w:t>
                    </w:r>
                    <w:r w:rsidR="009A0B66">
                      <w:t xml:space="preserve"> </w:t>
                    </w:r>
                    <w:r w:rsidR="00375EAB">
                      <w:t>Den Haag</w:t>
                    </w:r>
                  </w:p>
                  <w:p w14:paraId="1A2337F2" w14:textId="77777777" w:rsidR="00F860AE" w:rsidRDefault="00000000" w:rsidP="00A97BB8">
                    <w:pPr>
                      <w:pStyle w:val="Afzendgegevens"/>
                      <w:tabs>
                        <w:tab w:val="left" w:pos="170"/>
                      </w:tabs>
                    </w:pPr>
                    <w:r>
                      <w:t>T</w:t>
                    </w:r>
                    <w:r>
                      <w:tab/>
                      <w:t>070 340 79 11</w:t>
                    </w:r>
                  </w:p>
                  <w:p w14:paraId="5425F2C3" w14:textId="77777777" w:rsidR="00F860AE" w:rsidRDefault="00000000" w:rsidP="00A97BB8">
                    <w:pPr>
                      <w:pStyle w:val="Afzendgegevens"/>
                      <w:tabs>
                        <w:tab w:val="left" w:pos="170"/>
                      </w:tabs>
                    </w:pPr>
                    <w:r>
                      <w:t>F</w:t>
                    </w:r>
                    <w:r>
                      <w:tab/>
                      <w:t>070 340 78 34</w:t>
                    </w:r>
                  </w:p>
                  <w:p w14:paraId="5F8FC2D7" w14:textId="4A07A009" w:rsidR="00F860AE" w:rsidRDefault="00000000" w:rsidP="000D6026">
                    <w:pPr>
                      <w:pStyle w:val="Afzendgegevens"/>
                    </w:pPr>
                    <w:hyperlink r:id="rId3" w:history="1">
                      <w:r w:rsidR="000D6026" w:rsidRPr="00191FA7">
                        <w:rPr>
                          <w:rStyle w:val="Hyperlink"/>
                        </w:rPr>
                        <w:t>www.rijksoverheid.nl</w:t>
                      </w:r>
                    </w:hyperlink>
                  </w:p>
                  <w:p w14:paraId="2E31BC87" w14:textId="77777777" w:rsidR="000D6026" w:rsidRDefault="000D6026" w:rsidP="000D6026">
                    <w:pPr>
                      <w:pStyle w:val="Afzendgegevens"/>
                    </w:pPr>
                  </w:p>
                  <w:p w14:paraId="45746136" w14:textId="77777777" w:rsidR="000D6026" w:rsidRDefault="000D6026" w:rsidP="000D6026">
                    <w:pPr>
                      <w:pStyle w:val="Afzendgegevens"/>
                    </w:pPr>
                  </w:p>
                  <w:p w14:paraId="2932A892" w14:textId="77777777" w:rsidR="00F860AE" w:rsidRDefault="00000000" w:rsidP="00A97BB8">
                    <w:pPr>
                      <w:pStyle w:val="Afzendgegevenskopjes"/>
                    </w:pPr>
                    <w:r>
                      <w:t>Ons kenmerk</w:t>
                    </w:r>
                  </w:p>
                  <w:p w14:paraId="30761A1E" w14:textId="1CC2337B" w:rsidR="00F860AE" w:rsidRDefault="00000000" w:rsidP="000D6026">
                    <w:pPr>
                      <w:pStyle w:val="Huisstijl-Referentiegegevens"/>
                    </w:pPr>
                    <w:r>
                      <w:t>3798231-1063779-GMT</w:t>
                    </w:r>
                  </w:p>
                  <w:p w14:paraId="15501E6A" w14:textId="77777777" w:rsidR="000D6026" w:rsidRDefault="000D6026" w:rsidP="000D6026">
                    <w:pPr>
                      <w:pStyle w:val="Huisstijl-Referentiegegevens"/>
                    </w:pPr>
                  </w:p>
                  <w:p w14:paraId="3DD4B4C9" w14:textId="77777777" w:rsidR="00F860AE" w:rsidRDefault="00000000" w:rsidP="00A97BB8">
                    <w:pPr>
                      <w:pStyle w:val="Afzendgegevenskopjes"/>
                    </w:pPr>
                    <w:r>
                      <w:t>Bijlagen</w:t>
                    </w:r>
                  </w:p>
                  <w:p w14:paraId="5288660D" w14:textId="55BFEC18" w:rsidR="000D6026" w:rsidRDefault="00000000" w:rsidP="000D6026">
                    <w:pPr>
                      <w:pStyle w:val="Afzendgegevens"/>
                    </w:pPr>
                    <w:bookmarkStart w:id="5" w:name="bmkBijlagen"/>
                    <w:bookmarkEnd w:id="5"/>
                    <w:r>
                      <w:t>1</w:t>
                    </w:r>
                  </w:p>
                  <w:p w14:paraId="1778D863" w14:textId="77777777" w:rsidR="000D6026" w:rsidRDefault="000D6026" w:rsidP="000D6026">
                    <w:pPr>
                      <w:pStyle w:val="Afzendgegevens"/>
                    </w:pPr>
                  </w:p>
                  <w:p w14:paraId="79280DE1" w14:textId="77777777" w:rsidR="00F860AE" w:rsidRDefault="00000000" w:rsidP="00A97BB8">
                    <w:pPr>
                      <w:pStyle w:val="Afzendgegevenskopjes"/>
                    </w:pPr>
                    <w:r>
                      <w:t>Datum document</w:t>
                    </w:r>
                  </w:p>
                  <w:p w14:paraId="10A95EE3" w14:textId="77777777" w:rsidR="00D74EDF" w:rsidRPr="00D74EDF" w:rsidRDefault="00000000" w:rsidP="00D74EDF">
                    <w:pPr>
                      <w:spacing w:line="180" w:lineRule="atLeast"/>
                      <w:rPr>
                        <w:rFonts w:eastAsia="SimSun"/>
                        <w:sz w:val="13"/>
                      </w:rPr>
                    </w:pPr>
                    <w:bookmarkStart w:id="6" w:name="bmkUwBrief"/>
                    <w:bookmarkEnd w:id="6"/>
                    <w:r>
                      <w:rPr>
                        <w:rFonts w:eastAsia="SimSun"/>
                        <w:sz w:val="13"/>
                        <w:szCs w:val="13"/>
                      </w:rPr>
                      <w:t>27 maart 2024</w:t>
                    </w:r>
                  </w:p>
                  <w:p w14:paraId="56E82811" w14:textId="77777777" w:rsidR="000D6026" w:rsidRDefault="000D6026" w:rsidP="00A97BB8">
                    <w:pPr>
                      <w:pStyle w:val="Afzendgegevens"/>
                      <w:rPr>
                        <w:i/>
                      </w:rPr>
                    </w:pPr>
                  </w:p>
                  <w:p w14:paraId="35F17A96" w14:textId="77777777" w:rsidR="000D6026" w:rsidRDefault="000D6026" w:rsidP="00A97BB8">
                    <w:pPr>
                      <w:pStyle w:val="Afzendgegevens"/>
                      <w:rPr>
                        <w:i/>
                      </w:rPr>
                    </w:pPr>
                  </w:p>
                  <w:p w14:paraId="5CEF5E1A" w14:textId="77777777" w:rsidR="000D6026" w:rsidRDefault="000D6026" w:rsidP="00A97BB8">
                    <w:pPr>
                      <w:pStyle w:val="Afzendgegevens"/>
                      <w:rPr>
                        <w:i/>
                      </w:rPr>
                    </w:pPr>
                  </w:p>
                  <w:p w14:paraId="2BCB3731" w14:textId="0BF8A570" w:rsidR="00F860AE" w:rsidRPr="00C45528" w:rsidRDefault="00000000" w:rsidP="00A97BB8">
                    <w:pPr>
                      <w:pStyle w:val="Afzendgegevens"/>
                      <w:rPr>
                        <w:i/>
                      </w:rPr>
                    </w:pPr>
                    <w:r>
                      <w:rPr>
                        <w:i/>
                      </w:rPr>
                      <w:t>Correspondentie uitsluitend richten aan het retouradres met vermelding van de datum en het kenmerk van deze brief.</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7B5E" w14:textId="77777777" w:rsidR="00F860AE" w:rsidRDefault="00F860AE">
    <w:pPr>
      <w:pStyle w:val="Koptekst"/>
    </w:pPr>
  </w:p>
  <w:p w14:paraId="25038404" w14:textId="77777777" w:rsidR="00F860AE" w:rsidRDefault="00F86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5" w15:restartNumberingAfterBreak="0">
    <w:nsid w:val="011B09B9"/>
    <w:multiLevelType w:val="hybridMultilevel"/>
    <w:tmpl w:val="58A29E1A"/>
    <w:lvl w:ilvl="0" w:tplc="DB9812DC">
      <w:start w:val="1"/>
      <w:numFmt w:val="bullet"/>
      <w:lvlText w:val=""/>
      <w:lvlJc w:val="left"/>
      <w:pPr>
        <w:ind w:left="720" w:hanging="360"/>
      </w:pPr>
      <w:rPr>
        <w:rFonts w:ascii="Symbol" w:hAnsi="Symbol" w:hint="default"/>
      </w:rPr>
    </w:lvl>
    <w:lvl w:ilvl="1" w:tplc="C0DE7808" w:tentative="1">
      <w:start w:val="1"/>
      <w:numFmt w:val="bullet"/>
      <w:lvlText w:val="o"/>
      <w:lvlJc w:val="left"/>
      <w:pPr>
        <w:ind w:left="1440" w:hanging="360"/>
      </w:pPr>
      <w:rPr>
        <w:rFonts w:ascii="Courier New" w:hAnsi="Courier New" w:cs="Courier New" w:hint="default"/>
      </w:rPr>
    </w:lvl>
    <w:lvl w:ilvl="2" w:tplc="337450C8" w:tentative="1">
      <w:start w:val="1"/>
      <w:numFmt w:val="bullet"/>
      <w:lvlText w:val=""/>
      <w:lvlJc w:val="left"/>
      <w:pPr>
        <w:ind w:left="2160" w:hanging="360"/>
      </w:pPr>
      <w:rPr>
        <w:rFonts w:ascii="Wingdings" w:hAnsi="Wingdings" w:hint="default"/>
      </w:rPr>
    </w:lvl>
    <w:lvl w:ilvl="3" w:tplc="78086D6A" w:tentative="1">
      <w:start w:val="1"/>
      <w:numFmt w:val="bullet"/>
      <w:lvlText w:val=""/>
      <w:lvlJc w:val="left"/>
      <w:pPr>
        <w:ind w:left="2880" w:hanging="360"/>
      </w:pPr>
      <w:rPr>
        <w:rFonts w:ascii="Symbol" w:hAnsi="Symbol" w:hint="default"/>
      </w:rPr>
    </w:lvl>
    <w:lvl w:ilvl="4" w:tplc="E3AA6FCC" w:tentative="1">
      <w:start w:val="1"/>
      <w:numFmt w:val="bullet"/>
      <w:lvlText w:val="o"/>
      <w:lvlJc w:val="left"/>
      <w:pPr>
        <w:ind w:left="3600" w:hanging="360"/>
      </w:pPr>
      <w:rPr>
        <w:rFonts w:ascii="Courier New" w:hAnsi="Courier New" w:cs="Courier New" w:hint="default"/>
      </w:rPr>
    </w:lvl>
    <w:lvl w:ilvl="5" w:tplc="69765D44" w:tentative="1">
      <w:start w:val="1"/>
      <w:numFmt w:val="bullet"/>
      <w:lvlText w:val=""/>
      <w:lvlJc w:val="left"/>
      <w:pPr>
        <w:ind w:left="4320" w:hanging="360"/>
      </w:pPr>
      <w:rPr>
        <w:rFonts w:ascii="Wingdings" w:hAnsi="Wingdings" w:hint="default"/>
      </w:rPr>
    </w:lvl>
    <w:lvl w:ilvl="6" w:tplc="898E7512" w:tentative="1">
      <w:start w:val="1"/>
      <w:numFmt w:val="bullet"/>
      <w:lvlText w:val=""/>
      <w:lvlJc w:val="left"/>
      <w:pPr>
        <w:ind w:left="5040" w:hanging="360"/>
      </w:pPr>
      <w:rPr>
        <w:rFonts w:ascii="Symbol" w:hAnsi="Symbol" w:hint="default"/>
      </w:rPr>
    </w:lvl>
    <w:lvl w:ilvl="7" w:tplc="B5FC206C" w:tentative="1">
      <w:start w:val="1"/>
      <w:numFmt w:val="bullet"/>
      <w:lvlText w:val="o"/>
      <w:lvlJc w:val="left"/>
      <w:pPr>
        <w:ind w:left="5760" w:hanging="360"/>
      </w:pPr>
      <w:rPr>
        <w:rFonts w:ascii="Courier New" w:hAnsi="Courier New" w:cs="Courier New" w:hint="default"/>
      </w:rPr>
    </w:lvl>
    <w:lvl w:ilvl="8" w:tplc="23CEF32A" w:tentative="1">
      <w:start w:val="1"/>
      <w:numFmt w:val="bullet"/>
      <w:lvlText w:val=""/>
      <w:lvlJc w:val="left"/>
      <w:pPr>
        <w:ind w:left="6480" w:hanging="360"/>
      </w:pPr>
      <w:rPr>
        <w:rFonts w:ascii="Wingdings" w:hAnsi="Wingdings" w:hint="default"/>
      </w:rPr>
    </w:lvl>
  </w:abstractNum>
  <w:abstractNum w:abstractNumId="6" w15:restartNumberingAfterBreak="0">
    <w:nsid w:val="28700ADC"/>
    <w:multiLevelType w:val="hybridMultilevel"/>
    <w:tmpl w:val="87CC2E3E"/>
    <w:lvl w:ilvl="0" w:tplc="19229356">
      <w:start w:val="1"/>
      <w:numFmt w:val="bullet"/>
      <w:lvlText w:val=""/>
      <w:lvlJc w:val="left"/>
      <w:pPr>
        <w:ind w:left="720" w:hanging="360"/>
      </w:pPr>
      <w:rPr>
        <w:rFonts w:ascii="Symbol" w:hAnsi="Symbol" w:hint="default"/>
      </w:rPr>
    </w:lvl>
    <w:lvl w:ilvl="1" w:tplc="F13AE342" w:tentative="1">
      <w:start w:val="1"/>
      <w:numFmt w:val="bullet"/>
      <w:lvlText w:val="o"/>
      <w:lvlJc w:val="left"/>
      <w:pPr>
        <w:ind w:left="1440" w:hanging="360"/>
      </w:pPr>
      <w:rPr>
        <w:rFonts w:ascii="Courier New" w:hAnsi="Courier New" w:cs="Courier New" w:hint="default"/>
      </w:rPr>
    </w:lvl>
    <w:lvl w:ilvl="2" w:tplc="1DAA4DD0" w:tentative="1">
      <w:start w:val="1"/>
      <w:numFmt w:val="bullet"/>
      <w:lvlText w:val=""/>
      <w:lvlJc w:val="left"/>
      <w:pPr>
        <w:ind w:left="2160" w:hanging="360"/>
      </w:pPr>
      <w:rPr>
        <w:rFonts w:ascii="Wingdings" w:hAnsi="Wingdings" w:hint="default"/>
      </w:rPr>
    </w:lvl>
    <w:lvl w:ilvl="3" w:tplc="AF82AAB8" w:tentative="1">
      <w:start w:val="1"/>
      <w:numFmt w:val="bullet"/>
      <w:lvlText w:val=""/>
      <w:lvlJc w:val="left"/>
      <w:pPr>
        <w:ind w:left="2880" w:hanging="360"/>
      </w:pPr>
      <w:rPr>
        <w:rFonts w:ascii="Symbol" w:hAnsi="Symbol" w:hint="default"/>
      </w:rPr>
    </w:lvl>
    <w:lvl w:ilvl="4" w:tplc="F4727D0C" w:tentative="1">
      <w:start w:val="1"/>
      <w:numFmt w:val="bullet"/>
      <w:lvlText w:val="o"/>
      <w:lvlJc w:val="left"/>
      <w:pPr>
        <w:ind w:left="3600" w:hanging="360"/>
      </w:pPr>
      <w:rPr>
        <w:rFonts w:ascii="Courier New" w:hAnsi="Courier New" w:cs="Courier New" w:hint="default"/>
      </w:rPr>
    </w:lvl>
    <w:lvl w:ilvl="5" w:tplc="A22C1B40" w:tentative="1">
      <w:start w:val="1"/>
      <w:numFmt w:val="bullet"/>
      <w:lvlText w:val=""/>
      <w:lvlJc w:val="left"/>
      <w:pPr>
        <w:ind w:left="4320" w:hanging="360"/>
      </w:pPr>
      <w:rPr>
        <w:rFonts w:ascii="Wingdings" w:hAnsi="Wingdings" w:hint="default"/>
      </w:rPr>
    </w:lvl>
    <w:lvl w:ilvl="6" w:tplc="CC72B4EA" w:tentative="1">
      <w:start w:val="1"/>
      <w:numFmt w:val="bullet"/>
      <w:lvlText w:val=""/>
      <w:lvlJc w:val="left"/>
      <w:pPr>
        <w:ind w:left="5040" w:hanging="360"/>
      </w:pPr>
      <w:rPr>
        <w:rFonts w:ascii="Symbol" w:hAnsi="Symbol" w:hint="default"/>
      </w:rPr>
    </w:lvl>
    <w:lvl w:ilvl="7" w:tplc="02EA1A32" w:tentative="1">
      <w:start w:val="1"/>
      <w:numFmt w:val="bullet"/>
      <w:lvlText w:val="o"/>
      <w:lvlJc w:val="left"/>
      <w:pPr>
        <w:ind w:left="5760" w:hanging="360"/>
      </w:pPr>
      <w:rPr>
        <w:rFonts w:ascii="Courier New" w:hAnsi="Courier New" w:cs="Courier New" w:hint="default"/>
      </w:rPr>
    </w:lvl>
    <w:lvl w:ilvl="8" w:tplc="667C1C10" w:tentative="1">
      <w:start w:val="1"/>
      <w:numFmt w:val="bullet"/>
      <w:lvlText w:val=""/>
      <w:lvlJc w:val="left"/>
      <w:pPr>
        <w:ind w:left="6480" w:hanging="360"/>
      </w:pPr>
      <w:rPr>
        <w:rFonts w:ascii="Wingdings" w:hAnsi="Wingdings" w:hint="default"/>
      </w:rPr>
    </w:lvl>
  </w:abstractNum>
  <w:abstractNum w:abstractNumId="7"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8"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16cid:durableId="1835994072">
    <w:abstractNumId w:val="8"/>
  </w:num>
  <w:num w:numId="2" w16cid:durableId="2048066224">
    <w:abstractNumId w:val="7"/>
  </w:num>
  <w:num w:numId="3" w16cid:durableId="479738186">
    <w:abstractNumId w:val="4"/>
  </w:num>
  <w:num w:numId="4" w16cid:durableId="1888254973">
    <w:abstractNumId w:val="3"/>
  </w:num>
  <w:num w:numId="5" w16cid:durableId="1460760542">
    <w:abstractNumId w:val="2"/>
  </w:num>
  <w:num w:numId="6" w16cid:durableId="1709064910">
    <w:abstractNumId w:val="1"/>
  </w:num>
  <w:num w:numId="7" w16cid:durableId="60564843">
    <w:abstractNumId w:val="9"/>
  </w:num>
  <w:num w:numId="8" w16cid:durableId="1980501717">
    <w:abstractNumId w:val="0"/>
  </w:num>
  <w:num w:numId="9" w16cid:durableId="1681155962">
    <w:abstractNumId w:val="5"/>
  </w:num>
  <w:num w:numId="10" w16cid:durableId="9295793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 w:val=" "/>
    <w:docVar w:name="OndertekendDoor" w:val="Minister"/>
  </w:docVars>
  <w:rsids>
    <w:rsidRoot w:val="004868E0"/>
    <w:rsid w:val="00001D03"/>
    <w:rsid w:val="00003093"/>
    <w:rsid w:val="000036B7"/>
    <w:rsid w:val="00010230"/>
    <w:rsid w:val="00024097"/>
    <w:rsid w:val="0003701D"/>
    <w:rsid w:val="0004156C"/>
    <w:rsid w:val="00044264"/>
    <w:rsid w:val="000443E7"/>
    <w:rsid w:val="00044716"/>
    <w:rsid w:val="00067C7F"/>
    <w:rsid w:val="000905C8"/>
    <w:rsid w:val="00091E11"/>
    <w:rsid w:val="000C3852"/>
    <w:rsid w:val="000C6771"/>
    <w:rsid w:val="000C68D6"/>
    <w:rsid w:val="000D3311"/>
    <w:rsid w:val="000D6026"/>
    <w:rsid w:val="000D625D"/>
    <w:rsid w:val="000E4C38"/>
    <w:rsid w:val="000F262C"/>
    <w:rsid w:val="000F2CF8"/>
    <w:rsid w:val="000F2F05"/>
    <w:rsid w:val="000F3F37"/>
    <w:rsid w:val="00106D6E"/>
    <w:rsid w:val="00111ABC"/>
    <w:rsid w:val="00112CD5"/>
    <w:rsid w:val="001143C8"/>
    <w:rsid w:val="00117AEC"/>
    <w:rsid w:val="00126768"/>
    <w:rsid w:val="00131299"/>
    <w:rsid w:val="00132B19"/>
    <w:rsid w:val="0015027E"/>
    <w:rsid w:val="00166333"/>
    <w:rsid w:val="001730CD"/>
    <w:rsid w:val="0017367B"/>
    <w:rsid w:val="00175A67"/>
    <w:rsid w:val="00180FCE"/>
    <w:rsid w:val="0018245B"/>
    <w:rsid w:val="0019011A"/>
    <w:rsid w:val="00191A6E"/>
    <w:rsid w:val="001C22D9"/>
    <w:rsid w:val="001E37CA"/>
    <w:rsid w:val="001E4AA7"/>
    <w:rsid w:val="001F43C3"/>
    <w:rsid w:val="001F5F69"/>
    <w:rsid w:val="00206CA2"/>
    <w:rsid w:val="0021064F"/>
    <w:rsid w:val="00211CA7"/>
    <w:rsid w:val="00214C80"/>
    <w:rsid w:val="00221E7B"/>
    <w:rsid w:val="00227718"/>
    <w:rsid w:val="00261464"/>
    <w:rsid w:val="0026437C"/>
    <w:rsid w:val="002772AE"/>
    <w:rsid w:val="0027737A"/>
    <w:rsid w:val="00281100"/>
    <w:rsid w:val="00282965"/>
    <w:rsid w:val="00283FB4"/>
    <w:rsid w:val="002937FB"/>
    <w:rsid w:val="00293E4B"/>
    <w:rsid w:val="002A273F"/>
    <w:rsid w:val="002A4808"/>
    <w:rsid w:val="002A7945"/>
    <w:rsid w:val="002A7FF7"/>
    <w:rsid w:val="002B6FF2"/>
    <w:rsid w:val="002C0374"/>
    <w:rsid w:val="002C1278"/>
    <w:rsid w:val="002C2580"/>
    <w:rsid w:val="002C45AA"/>
    <w:rsid w:val="002C728A"/>
    <w:rsid w:val="002E382F"/>
    <w:rsid w:val="00305A22"/>
    <w:rsid w:val="00312E83"/>
    <w:rsid w:val="00320F9B"/>
    <w:rsid w:val="00323A44"/>
    <w:rsid w:val="0032468A"/>
    <w:rsid w:val="00330C81"/>
    <w:rsid w:val="00332FEF"/>
    <w:rsid w:val="003408F7"/>
    <w:rsid w:val="00340D03"/>
    <w:rsid w:val="00342416"/>
    <w:rsid w:val="003565EF"/>
    <w:rsid w:val="00370A49"/>
    <w:rsid w:val="00373995"/>
    <w:rsid w:val="00375EAB"/>
    <w:rsid w:val="003917AA"/>
    <w:rsid w:val="00394BD1"/>
    <w:rsid w:val="003977E9"/>
    <w:rsid w:val="003A0FCD"/>
    <w:rsid w:val="003A3BE0"/>
    <w:rsid w:val="003A52E7"/>
    <w:rsid w:val="003C0D2F"/>
    <w:rsid w:val="003C2021"/>
    <w:rsid w:val="003D50C3"/>
    <w:rsid w:val="003F281F"/>
    <w:rsid w:val="00420166"/>
    <w:rsid w:val="00432D3D"/>
    <w:rsid w:val="00432E53"/>
    <w:rsid w:val="00440752"/>
    <w:rsid w:val="00443B68"/>
    <w:rsid w:val="00443CB7"/>
    <w:rsid w:val="00484C35"/>
    <w:rsid w:val="004868E0"/>
    <w:rsid w:val="00487675"/>
    <w:rsid w:val="00494227"/>
    <w:rsid w:val="004A33B7"/>
    <w:rsid w:val="004B5592"/>
    <w:rsid w:val="004B5A41"/>
    <w:rsid w:val="004C23E7"/>
    <w:rsid w:val="004C28CC"/>
    <w:rsid w:val="004C6190"/>
    <w:rsid w:val="004C6E78"/>
    <w:rsid w:val="004D3EE4"/>
    <w:rsid w:val="004F4498"/>
    <w:rsid w:val="004F7466"/>
    <w:rsid w:val="00506C21"/>
    <w:rsid w:val="00525092"/>
    <w:rsid w:val="00537EB3"/>
    <w:rsid w:val="0054399F"/>
    <w:rsid w:val="00547739"/>
    <w:rsid w:val="00553742"/>
    <w:rsid w:val="005642D0"/>
    <w:rsid w:val="005647B5"/>
    <w:rsid w:val="00565470"/>
    <w:rsid w:val="0057203B"/>
    <w:rsid w:val="005778D1"/>
    <w:rsid w:val="005855A6"/>
    <w:rsid w:val="00586002"/>
    <w:rsid w:val="00591A92"/>
    <w:rsid w:val="005950B8"/>
    <w:rsid w:val="005A273B"/>
    <w:rsid w:val="005A668A"/>
    <w:rsid w:val="005C317B"/>
    <w:rsid w:val="005C4279"/>
    <w:rsid w:val="005C55B1"/>
    <w:rsid w:val="005E2301"/>
    <w:rsid w:val="005E6F29"/>
    <w:rsid w:val="00605234"/>
    <w:rsid w:val="0060645D"/>
    <w:rsid w:val="00613DDA"/>
    <w:rsid w:val="006154D0"/>
    <w:rsid w:val="00633521"/>
    <w:rsid w:val="006339DB"/>
    <w:rsid w:val="00634A8A"/>
    <w:rsid w:val="00634D71"/>
    <w:rsid w:val="00635330"/>
    <w:rsid w:val="0065343A"/>
    <w:rsid w:val="0065439B"/>
    <w:rsid w:val="00656DE0"/>
    <w:rsid w:val="00663D5A"/>
    <w:rsid w:val="00664686"/>
    <w:rsid w:val="00670F32"/>
    <w:rsid w:val="00670F96"/>
    <w:rsid w:val="00674CA6"/>
    <w:rsid w:val="00680185"/>
    <w:rsid w:val="00680FCF"/>
    <w:rsid w:val="006A394E"/>
    <w:rsid w:val="006C0CC8"/>
    <w:rsid w:val="006D4913"/>
    <w:rsid w:val="006D4B00"/>
    <w:rsid w:val="006E07B5"/>
    <w:rsid w:val="006E3501"/>
    <w:rsid w:val="006E4550"/>
    <w:rsid w:val="00706A3D"/>
    <w:rsid w:val="007206CF"/>
    <w:rsid w:val="00721401"/>
    <w:rsid w:val="007275B8"/>
    <w:rsid w:val="00727E4A"/>
    <w:rsid w:val="0075008E"/>
    <w:rsid w:val="00750799"/>
    <w:rsid w:val="007539FC"/>
    <w:rsid w:val="00754BBC"/>
    <w:rsid w:val="00756C65"/>
    <w:rsid w:val="00756CC5"/>
    <w:rsid w:val="007605B0"/>
    <w:rsid w:val="00770ACA"/>
    <w:rsid w:val="00773942"/>
    <w:rsid w:val="0077549E"/>
    <w:rsid w:val="00793CAC"/>
    <w:rsid w:val="00794A93"/>
    <w:rsid w:val="007B0FD0"/>
    <w:rsid w:val="007C0BC6"/>
    <w:rsid w:val="007D6882"/>
    <w:rsid w:val="007E13A5"/>
    <w:rsid w:val="007F5AEE"/>
    <w:rsid w:val="007F63F2"/>
    <w:rsid w:val="00803A9A"/>
    <w:rsid w:val="00803C7D"/>
    <w:rsid w:val="00803CB4"/>
    <w:rsid w:val="008232FE"/>
    <w:rsid w:val="0082399F"/>
    <w:rsid w:val="00823F8B"/>
    <w:rsid w:val="0082734C"/>
    <w:rsid w:val="008325AB"/>
    <w:rsid w:val="00837975"/>
    <w:rsid w:val="00850932"/>
    <w:rsid w:val="008570F5"/>
    <w:rsid w:val="00861D19"/>
    <w:rsid w:val="008654C4"/>
    <w:rsid w:val="00891202"/>
    <w:rsid w:val="00897378"/>
    <w:rsid w:val="00897ABA"/>
    <w:rsid w:val="008A42E7"/>
    <w:rsid w:val="008A6F60"/>
    <w:rsid w:val="008D3037"/>
    <w:rsid w:val="008D6BFC"/>
    <w:rsid w:val="008D7A70"/>
    <w:rsid w:val="008E4F42"/>
    <w:rsid w:val="008E5C66"/>
    <w:rsid w:val="008E7546"/>
    <w:rsid w:val="008F1266"/>
    <w:rsid w:val="008F5C23"/>
    <w:rsid w:val="008F6CCB"/>
    <w:rsid w:val="009071A4"/>
    <w:rsid w:val="00907302"/>
    <w:rsid w:val="00907AC4"/>
    <w:rsid w:val="00917598"/>
    <w:rsid w:val="00921A58"/>
    <w:rsid w:val="009368F6"/>
    <w:rsid w:val="00941991"/>
    <w:rsid w:val="00946107"/>
    <w:rsid w:val="009519EE"/>
    <w:rsid w:val="00957CF0"/>
    <w:rsid w:val="009606E8"/>
    <w:rsid w:val="0096086B"/>
    <w:rsid w:val="009608D3"/>
    <w:rsid w:val="009615EB"/>
    <w:rsid w:val="0096635E"/>
    <w:rsid w:val="00966ED1"/>
    <w:rsid w:val="0097481D"/>
    <w:rsid w:val="00984DCC"/>
    <w:rsid w:val="00993CB8"/>
    <w:rsid w:val="009945B3"/>
    <w:rsid w:val="00996456"/>
    <w:rsid w:val="009A0B66"/>
    <w:rsid w:val="009A412F"/>
    <w:rsid w:val="009B2011"/>
    <w:rsid w:val="009B7B79"/>
    <w:rsid w:val="009C1DFC"/>
    <w:rsid w:val="009C438D"/>
    <w:rsid w:val="009D1389"/>
    <w:rsid w:val="009D3BCF"/>
    <w:rsid w:val="009E191E"/>
    <w:rsid w:val="009E1B3A"/>
    <w:rsid w:val="009E49D6"/>
    <w:rsid w:val="009E4E8F"/>
    <w:rsid w:val="009F35E2"/>
    <w:rsid w:val="00A00443"/>
    <w:rsid w:val="00A0347D"/>
    <w:rsid w:val="00A1272F"/>
    <w:rsid w:val="00A1671E"/>
    <w:rsid w:val="00A1733D"/>
    <w:rsid w:val="00A257D1"/>
    <w:rsid w:val="00A2591B"/>
    <w:rsid w:val="00A439C2"/>
    <w:rsid w:val="00A46115"/>
    <w:rsid w:val="00A55BD7"/>
    <w:rsid w:val="00A65DF8"/>
    <w:rsid w:val="00A75276"/>
    <w:rsid w:val="00A907B9"/>
    <w:rsid w:val="00A959E1"/>
    <w:rsid w:val="00A97897"/>
    <w:rsid w:val="00A97BB8"/>
    <w:rsid w:val="00A97D5F"/>
    <w:rsid w:val="00AA573F"/>
    <w:rsid w:val="00AB4A9A"/>
    <w:rsid w:val="00AB6116"/>
    <w:rsid w:val="00AC17D5"/>
    <w:rsid w:val="00AC2BFA"/>
    <w:rsid w:val="00AC6C35"/>
    <w:rsid w:val="00AE5E7A"/>
    <w:rsid w:val="00AF56C3"/>
    <w:rsid w:val="00B25223"/>
    <w:rsid w:val="00B35E0A"/>
    <w:rsid w:val="00B379FD"/>
    <w:rsid w:val="00B37B57"/>
    <w:rsid w:val="00B4064E"/>
    <w:rsid w:val="00B42A63"/>
    <w:rsid w:val="00B43456"/>
    <w:rsid w:val="00B452FA"/>
    <w:rsid w:val="00B54A56"/>
    <w:rsid w:val="00B55170"/>
    <w:rsid w:val="00B566C7"/>
    <w:rsid w:val="00B634E9"/>
    <w:rsid w:val="00B6471C"/>
    <w:rsid w:val="00B65DEA"/>
    <w:rsid w:val="00B73D14"/>
    <w:rsid w:val="00B75AA8"/>
    <w:rsid w:val="00B77796"/>
    <w:rsid w:val="00B83641"/>
    <w:rsid w:val="00B963F2"/>
    <w:rsid w:val="00B97F06"/>
    <w:rsid w:val="00BA19A7"/>
    <w:rsid w:val="00BA5E4D"/>
    <w:rsid w:val="00BC00F2"/>
    <w:rsid w:val="00BC51F4"/>
    <w:rsid w:val="00BC75A2"/>
    <w:rsid w:val="00BE11D3"/>
    <w:rsid w:val="00BE3ABA"/>
    <w:rsid w:val="00BF1E5F"/>
    <w:rsid w:val="00BF7E0A"/>
    <w:rsid w:val="00C2219A"/>
    <w:rsid w:val="00C22F8B"/>
    <w:rsid w:val="00C2746E"/>
    <w:rsid w:val="00C40708"/>
    <w:rsid w:val="00C4156F"/>
    <w:rsid w:val="00C45528"/>
    <w:rsid w:val="00C56B1F"/>
    <w:rsid w:val="00C6569A"/>
    <w:rsid w:val="00C66144"/>
    <w:rsid w:val="00C742D7"/>
    <w:rsid w:val="00C75F52"/>
    <w:rsid w:val="00C76AFD"/>
    <w:rsid w:val="00C9417E"/>
    <w:rsid w:val="00CA481F"/>
    <w:rsid w:val="00CB09AE"/>
    <w:rsid w:val="00CC2EDD"/>
    <w:rsid w:val="00CC345F"/>
    <w:rsid w:val="00CC5B17"/>
    <w:rsid w:val="00CC74F6"/>
    <w:rsid w:val="00CE34AC"/>
    <w:rsid w:val="00CF2030"/>
    <w:rsid w:val="00CF2D00"/>
    <w:rsid w:val="00D0069C"/>
    <w:rsid w:val="00D01419"/>
    <w:rsid w:val="00D043C3"/>
    <w:rsid w:val="00D1126F"/>
    <w:rsid w:val="00D11661"/>
    <w:rsid w:val="00D22737"/>
    <w:rsid w:val="00D2539D"/>
    <w:rsid w:val="00D324DD"/>
    <w:rsid w:val="00D37186"/>
    <w:rsid w:val="00D450DB"/>
    <w:rsid w:val="00D47D35"/>
    <w:rsid w:val="00D524D3"/>
    <w:rsid w:val="00D66608"/>
    <w:rsid w:val="00D718D3"/>
    <w:rsid w:val="00D74EDF"/>
    <w:rsid w:val="00D81FF9"/>
    <w:rsid w:val="00D82490"/>
    <w:rsid w:val="00D87848"/>
    <w:rsid w:val="00D91066"/>
    <w:rsid w:val="00D97A0B"/>
    <w:rsid w:val="00DC53A9"/>
    <w:rsid w:val="00DC5645"/>
    <w:rsid w:val="00DE4A52"/>
    <w:rsid w:val="00DF2C35"/>
    <w:rsid w:val="00E00E6C"/>
    <w:rsid w:val="00E01216"/>
    <w:rsid w:val="00E03972"/>
    <w:rsid w:val="00E06984"/>
    <w:rsid w:val="00E115B6"/>
    <w:rsid w:val="00E15C82"/>
    <w:rsid w:val="00E16C64"/>
    <w:rsid w:val="00E16E9C"/>
    <w:rsid w:val="00E22E95"/>
    <w:rsid w:val="00E30660"/>
    <w:rsid w:val="00E363B9"/>
    <w:rsid w:val="00E54ABA"/>
    <w:rsid w:val="00E57FE4"/>
    <w:rsid w:val="00E703F4"/>
    <w:rsid w:val="00EA5DC7"/>
    <w:rsid w:val="00EA6D30"/>
    <w:rsid w:val="00EB2F0F"/>
    <w:rsid w:val="00EB49A6"/>
    <w:rsid w:val="00ED6774"/>
    <w:rsid w:val="00EE0DB6"/>
    <w:rsid w:val="00EE6EBB"/>
    <w:rsid w:val="00F01F8C"/>
    <w:rsid w:val="00F06AF8"/>
    <w:rsid w:val="00F07CA0"/>
    <w:rsid w:val="00F20C99"/>
    <w:rsid w:val="00F2530D"/>
    <w:rsid w:val="00F306B5"/>
    <w:rsid w:val="00F352F9"/>
    <w:rsid w:val="00F358D8"/>
    <w:rsid w:val="00F36B68"/>
    <w:rsid w:val="00F56F5C"/>
    <w:rsid w:val="00F60FF6"/>
    <w:rsid w:val="00F713BA"/>
    <w:rsid w:val="00F734A6"/>
    <w:rsid w:val="00F860AE"/>
    <w:rsid w:val="00F9459B"/>
    <w:rsid w:val="00FB3314"/>
    <w:rsid w:val="00FC4A2B"/>
    <w:rsid w:val="00FE7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6AE9D"/>
  <w15:docId w15:val="{10970F45-A229-42E9-8FB5-5F72292A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1"/>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1"/>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2"/>
      </w:numPr>
      <w:tabs>
        <w:tab w:val="left" w:pos="567"/>
      </w:tabs>
      <w:spacing w:line="240" w:lineRule="auto"/>
      <w:ind w:left="0" w:firstLine="0"/>
    </w:pPr>
  </w:style>
  <w:style w:type="paragraph" w:styleId="Lijstopsomteken2">
    <w:name w:val="List Bullet 2"/>
    <w:basedOn w:val="Standaard"/>
    <w:rsid w:val="00EB49A6"/>
    <w:pPr>
      <w:numPr>
        <w:numId w:val="3"/>
      </w:numPr>
      <w:tabs>
        <w:tab w:val="clear" w:pos="643"/>
        <w:tab w:val="num" w:pos="360"/>
        <w:tab w:val="left" w:pos="851"/>
      </w:tabs>
      <w:ind w:left="0" w:firstLine="0"/>
    </w:pPr>
  </w:style>
  <w:style w:type="paragraph" w:styleId="Lijstopsomteken3">
    <w:name w:val="List Bullet 3"/>
    <w:basedOn w:val="Standaard"/>
    <w:rsid w:val="00EB49A6"/>
    <w:pPr>
      <w:numPr>
        <w:numId w:val="4"/>
      </w:numPr>
      <w:tabs>
        <w:tab w:val="clear" w:pos="926"/>
        <w:tab w:val="num" w:pos="360"/>
      </w:tabs>
      <w:spacing w:line="240" w:lineRule="auto"/>
      <w:ind w:left="0" w:firstLine="0"/>
    </w:pPr>
  </w:style>
  <w:style w:type="paragraph" w:styleId="Lijstopsomteken4">
    <w:name w:val="List Bullet 4"/>
    <w:basedOn w:val="Standaard"/>
    <w:rsid w:val="00EB49A6"/>
    <w:pPr>
      <w:numPr>
        <w:numId w:val="5"/>
      </w:numPr>
      <w:tabs>
        <w:tab w:val="clear" w:pos="1209"/>
        <w:tab w:val="num" w:pos="360"/>
      </w:tabs>
      <w:spacing w:line="240" w:lineRule="auto"/>
      <w:ind w:left="0" w:firstLine="0"/>
    </w:pPr>
  </w:style>
  <w:style w:type="paragraph" w:styleId="Lijstopsomteken5">
    <w:name w:val="List Bullet 5"/>
    <w:basedOn w:val="Standaard"/>
    <w:rsid w:val="00EB49A6"/>
    <w:pPr>
      <w:numPr>
        <w:numId w:val="6"/>
      </w:numPr>
      <w:tabs>
        <w:tab w:val="clear" w:pos="1492"/>
        <w:tab w:val="num" w:pos="360"/>
      </w:tabs>
      <w:spacing w:line="240" w:lineRule="auto"/>
      <w:ind w:left="0" w:firstLine="0"/>
    </w:pPr>
  </w:style>
  <w:style w:type="paragraph" w:styleId="Lijstnummering">
    <w:name w:val="List Number"/>
    <w:basedOn w:val="Standaard"/>
    <w:rsid w:val="00EB49A6"/>
    <w:pPr>
      <w:numPr>
        <w:numId w:val="7"/>
      </w:numPr>
      <w:tabs>
        <w:tab w:val="left" w:pos="567"/>
      </w:tabs>
      <w:ind w:left="0" w:firstLine="0"/>
    </w:pPr>
  </w:style>
  <w:style w:type="paragraph" w:styleId="Lijstnummering2">
    <w:name w:val="List Number 2"/>
    <w:basedOn w:val="Standaard"/>
    <w:rsid w:val="00EB49A6"/>
    <w:pPr>
      <w:numPr>
        <w:ilvl w:val="1"/>
        <w:numId w:val="7"/>
      </w:numPr>
      <w:tabs>
        <w:tab w:val="clear" w:pos="792"/>
        <w:tab w:val="num" w:pos="360"/>
        <w:tab w:val="left" w:pos="851"/>
      </w:tabs>
      <w:ind w:left="0" w:firstLine="0"/>
    </w:pPr>
  </w:style>
  <w:style w:type="paragraph" w:styleId="Lijstnummering3">
    <w:name w:val="List Number 3"/>
    <w:basedOn w:val="Standaard"/>
    <w:rsid w:val="00EB49A6"/>
    <w:pPr>
      <w:numPr>
        <w:ilvl w:val="2"/>
        <w:numId w:val="7"/>
      </w:numPr>
      <w:tabs>
        <w:tab w:val="clear" w:pos="1440"/>
        <w:tab w:val="num" w:pos="360"/>
        <w:tab w:val="left" w:pos="1134"/>
      </w:tabs>
      <w:ind w:left="0" w:firstLine="0"/>
    </w:pPr>
  </w:style>
  <w:style w:type="paragraph" w:styleId="Lijstnummering4">
    <w:name w:val="List Number 4"/>
    <w:basedOn w:val="Standaard"/>
    <w:rsid w:val="00EB49A6"/>
    <w:pPr>
      <w:numPr>
        <w:ilvl w:val="3"/>
        <w:numId w:val="7"/>
      </w:numPr>
      <w:tabs>
        <w:tab w:val="clear" w:pos="2160"/>
        <w:tab w:val="num" w:pos="360"/>
        <w:tab w:val="left" w:pos="1418"/>
      </w:tabs>
      <w:ind w:left="0" w:firstLine="0"/>
    </w:pPr>
  </w:style>
  <w:style w:type="paragraph" w:styleId="Lijstnummering5">
    <w:name w:val="List Number 5"/>
    <w:basedOn w:val="Standaard"/>
    <w:rsid w:val="00EB49A6"/>
    <w:pPr>
      <w:numPr>
        <w:numId w:val="8"/>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link w:val="TekstopmerkingChar"/>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Referentiegegevens">
    <w:name w:val="Huisstijl - Referentiegegevens"/>
    <w:basedOn w:val="Standaard"/>
    <w:rsid w:val="00D74EDF"/>
    <w:pPr>
      <w:widowControl w:val="0"/>
      <w:suppressAutoHyphens/>
      <w:autoSpaceDN w:val="0"/>
      <w:spacing w:line="180" w:lineRule="exact"/>
      <w:textAlignment w:val="baseline"/>
    </w:pPr>
    <w:rPr>
      <w:rFonts w:cs="Lohit Hindi"/>
      <w:kern w:val="3"/>
      <w:sz w:val="13"/>
      <w:szCs w:val="24"/>
      <w:lang w:eastAsia="zh-CN" w:bidi="hi-IN"/>
    </w:rPr>
  </w:style>
  <w:style w:type="character" w:styleId="Verwijzingopmerking">
    <w:name w:val="annotation reference"/>
    <w:basedOn w:val="Standaardalinea-lettertype"/>
    <w:rsid w:val="00443CB7"/>
    <w:rPr>
      <w:sz w:val="16"/>
      <w:szCs w:val="16"/>
    </w:rPr>
  </w:style>
  <w:style w:type="paragraph" w:styleId="Onderwerpvanopmerking">
    <w:name w:val="annotation subject"/>
    <w:basedOn w:val="Tekstopmerking"/>
    <w:next w:val="Tekstopmerking"/>
    <w:link w:val="OnderwerpvanopmerkingChar"/>
    <w:semiHidden/>
    <w:unhideWhenUsed/>
    <w:rsid w:val="00443CB7"/>
    <w:rPr>
      <w:b/>
      <w:bCs/>
      <w:sz w:val="20"/>
    </w:rPr>
  </w:style>
  <w:style w:type="character" w:customStyle="1" w:styleId="TekstopmerkingChar">
    <w:name w:val="Tekst opmerking Char"/>
    <w:basedOn w:val="Standaardalinea-lettertype"/>
    <w:link w:val="Tekstopmerking"/>
    <w:semiHidden/>
    <w:rsid w:val="00443CB7"/>
    <w:rPr>
      <w:rFonts w:ascii="Verdana" w:hAnsi="Verdana"/>
      <w:sz w:val="18"/>
    </w:rPr>
  </w:style>
  <w:style w:type="character" w:customStyle="1" w:styleId="OnderwerpvanopmerkingChar">
    <w:name w:val="Onderwerp van opmerking Char"/>
    <w:basedOn w:val="TekstopmerkingChar"/>
    <w:link w:val="Onderwerpvanopmerking"/>
    <w:semiHidden/>
    <w:rsid w:val="00443CB7"/>
    <w:rPr>
      <w:rFonts w:ascii="Verdana" w:hAnsi="Verdana"/>
      <w:b/>
      <w:bCs/>
      <w:sz w:val="18"/>
    </w:rPr>
  </w:style>
  <w:style w:type="character" w:styleId="Hyperlink">
    <w:name w:val="Hyperlink"/>
    <w:basedOn w:val="Standaardalinea-lettertype"/>
    <w:rsid w:val="00443CB7"/>
    <w:rPr>
      <w:color w:val="0563C1" w:themeColor="hyperlink"/>
      <w:u w:val="single"/>
    </w:rPr>
  </w:style>
  <w:style w:type="character" w:styleId="Onopgelostemelding">
    <w:name w:val="Unresolved Mention"/>
    <w:basedOn w:val="Standaardalinea-lettertype"/>
    <w:uiPriority w:val="99"/>
    <w:semiHidden/>
    <w:unhideWhenUsed/>
    <w:rsid w:val="00443CB7"/>
    <w:rPr>
      <w:color w:val="605E5C"/>
      <w:shd w:val="clear" w:color="auto" w:fill="E1DFDD"/>
    </w:rPr>
  </w:style>
  <w:style w:type="character" w:styleId="Voetnootmarkering">
    <w:name w:val="footnote reference"/>
    <w:basedOn w:val="Standaardalinea-lettertype"/>
    <w:rsid w:val="00591A92"/>
    <w:rPr>
      <w:vertAlign w:val="superscript"/>
    </w:rPr>
  </w:style>
  <w:style w:type="paragraph" w:styleId="Revisie">
    <w:name w:val="Revision"/>
    <w:hidden/>
    <w:uiPriority w:val="99"/>
    <w:semiHidden/>
    <w:rsid w:val="00227718"/>
    <w:rPr>
      <w:rFonts w:ascii="Verdana" w:hAnsi="Verdana"/>
      <w:sz w:val="18"/>
    </w:rPr>
  </w:style>
  <w:style w:type="paragraph" w:styleId="Lijstalinea">
    <w:name w:val="List Paragraph"/>
    <w:basedOn w:val="Standaard"/>
    <w:uiPriority w:val="34"/>
    <w:qFormat/>
    <w:rsid w:val="0077549E"/>
    <w:pPr>
      <w:ind w:left="720"/>
      <w:contextualSpacing/>
    </w:pPr>
  </w:style>
  <w:style w:type="character" w:styleId="GevolgdeHyperlink">
    <w:name w:val="FollowedHyperlink"/>
    <w:basedOn w:val="Standaardalinea-lettertype"/>
    <w:rsid w:val="009C438D"/>
    <w:rPr>
      <w:color w:val="954F72" w:themeColor="followedHyperlink"/>
      <w:u w:val="single"/>
    </w:rPr>
  </w:style>
  <w:style w:type="character" w:customStyle="1" w:styleId="cf01">
    <w:name w:val="cf01"/>
    <w:basedOn w:val="Standaardalinea-lettertype"/>
    <w:rsid w:val="00A1733D"/>
    <w:rPr>
      <w:rFonts w:ascii="Segoe UI" w:hAnsi="Segoe UI" w:cs="Segoe UI" w:hint="default"/>
      <w:sz w:val="18"/>
      <w:szCs w:val="18"/>
    </w:rPr>
  </w:style>
  <w:style w:type="paragraph" w:customStyle="1" w:styleId="Huisstijl-Slotzin">
    <w:name w:val="Huisstijl - Slotzin"/>
    <w:basedOn w:val="Standaard"/>
    <w:next w:val="Huisstijl-Ondertekening"/>
    <w:rsid w:val="000D6026"/>
    <w:pPr>
      <w:widowControl w:val="0"/>
      <w:suppressAutoHyphens/>
      <w:autoSpaceDN w:val="0"/>
      <w:spacing w:before="240" w:line="240" w:lineRule="exact"/>
      <w:textAlignment w:val="baseline"/>
    </w:pPr>
    <w:rPr>
      <w:rFonts w:eastAsia="DejaVu Sans" w:cs="Lohit Hindi"/>
      <w:kern w:val="3"/>
      <w:szCs w:val="24"/>
      <w:lang w:eastAsia="zh-CN" w:bidi="hi-IN"/>
    </w:rPr>
  </w:style>
  <w:style w:type="paragraph" w:customStyle="1" w:styleId="Huisstijl-Ondertekening">
    <w:name w:val="Huisstijl - Ondertekening"/>
    <w:basedOn w:val="Standaard"/>
    <w:next w:val="Standaard"/>
    <w:rsid w:val="000D6026"/>
    <w:pPr>
      <w:widowControl w:val="0"/>
      <w:suppressAutoHyphens/>
      <w:autoSpaceDN w:val="0"/>
      <w:spacing w:line="240" w:lineRule="exact"/>
      <w:textAlignment w:val="baseline"/>
    </w:pPr>
    <w:rPr>
      <w:rFonts w:eastAsia="DejaVu Sans" w:cs="Lohit Hindi"/>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cid:image001.png@01DA8B35.30B8DCC0"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zn.nl/app/uploads/2023/04/ZN-SP-2023-006-Pembro-TNBC.pdf" TargetMode="External"/><Relationship Id="rId2" Type="http://schemas.openxmlformats.org/officeDocument/2006/relationships/hyperlink" Target="https://www.uu.nl/nieuws/veel-nieuwe-kankermedicijnen-in-de-eu-hebben-geen-bewezen-toegevoegde-waarde" TargetMode="External"/><Relationship Id="rId1" Type="http://schemas.openxmlformats.org/officeDocument/2006/relationships/hyperlink" Target="https://puc.overheid.nl/nza/doc/PUC_749597_22/1/" TargetMode="External"/><Relationship Id="rId6" Type="http://schemas.openxmlformats.org/officeDocument/2006/relationships/hyperlink" Target="https://www.zn.nl/dossier/dure-geneesmiddelen/ciebag/" TargetMode="External"/><Relationship Id="rId5" Type="http://schemas.openxmlformats.org/officeDocument/2006/relationships/hyperlink" Target="https://puc.overheid.nl/nza/doc/PUC_704644_22/1/" TargetMode="External"/><Relationship Id="rId4" Type="http://schemas.openxmlformats.org/officeDocument/2006/relationships/hyperlink" Target="https://www.zorginstituutnederland.nl/werkagenda/kanker/pakketadvies-specialistisch-geneesmiddel-pembrolizumab-keytruda-voor-de-behandeling-van-borstkanke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ijksoverheid.nl" TargetMode="External"/><Relationship Id="rId2" Type="http://schemas.openxmlformats.org/officeDocument/2006/relationships/hyperlink" Target="http://www.rijksoverheid.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3390</ap:Words>
  <ap:Characters>18651</ap:Characters>
  <ap:DocSecurity>0</ap:DocSecurity>
  <ap:Lines>155</ap:Lines>
  <ap:Paragraphs>43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21998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2024-04-17T07:26:00.0000000Z</lastPrinted>
  <dcterms:created xsi:type="dcterms:W3CDTF">2024-04-18T08:45:00.0000000Z</dcterms:created>
  <dcterms:modified xsi:type="dcterms:W3CDTF">2024-04-18T08:46:00.0000000Z</dcterms:modified>
  <dc:description>------------------------</dc:description>
  <dc:subject/>
  <dc:title/>
  <keywords/>
  <version/>
  <category/>
</coreProperties>
</file>